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3AB" w:rsidRPr="00D833AB" w:rsidRDefault="00D833AB" w:rsidP="00D833AB">
      <w:pPr>
        <w:spacing w:after="0" w:line="240" w:lineRule="auto"/>
        <w:ind w:firstLine="720"/>
        <w:jc w:val="both"/>
        <w:rPr>
          <w:rFonts w:ascii="Arial Narrow" w:hAnsi="Arial Narrow" w:cs="Arial"/>
          <w:sz w:val="26"/>
          <w:szCs w:val="26"/>
          <w:lang w:val="sr-Latn-ME"/>
        </w:rPr>
      </w:pPr>
      <w:r w:rsidRPr="00D833AB">
        <w:rPr>
          <w:rFonts w:ascii="Arial Narrow" w:eastAsiaTheme="minorEastAsia" w:hAnsi="Arial Narrow"/>
          <w:sz w:val="26"/>
          <w:szCs w:val="26"/>
          <w:lang w:val="sr-Latn-ME"/>
        </w:rPr>
        <w:t xml:space="preserve">Ustavni sud Crne Gore, </w:t>
      </w:r>
      <w:r w:rsidRPr="00D833AB">
        <w:rPr>
          <w:rFonts w:ascii="Arial Narrow" w:eastAsiaTheme="minorEastAsia" w:hAnsi="Arial Narrow" w:cs="Arial"/>
          <w:sz w:val="26"/>
          <w:szCs w:val="26"/>
          <w:lang w:val="sr-Latn-ME"/>
        </w:rPr>
        <w:t xml:space="preserve">u Prvom vijeću za meritorno odlučivanje o ustavnim žalbama, u sastavu: </w:t>
      </w:r>
      <w:r w:rsidRPr="00D833AB">
        <w:rPr>
          <w:rFonts w:ascii="Arial Narrow" w:eastAsia="Times New Roman" w:hAnsi="Arial Narrow"/>
          <w:color w:val="000000"/>
          <w:sz w:val="26"/>
          <w:szCs w:val="26"/>
          <w:lang w:val="sr-Latn-ME"/>
        </w:rPr>
        <w:t>sudija Snežana Armenko, predsjednica Vijeća i sudije Faruk Resulbegović i Momirka Tešić,</w:t>
      </w:r>
      <w:r w:rsidRPr="00D833AB">
        <w:rPr>
          <w:rFonts w:ascii="Arial Narrow" w:eastAsia="Times New Roman" w:hAnsi="Arial Narrow"/>
          <w:color w:val="222222"/>
          <w:sz w:val="26"/>
          <w:szCs w:val="26"/>
          <w:lang w:val="sr-Latn-ME"/>
        </w:rPr>
        <w:t> članovi Vijeća</w:t>
      </w:r>
      <w:r w:rsidRPr="00D833AB">
        <w:rPr>
          <w:rFonts w:ascii="Arial Narrow" w:eastAsia="Times New Roman" w:hAnsi="Arial Narrow"/>
          <w:color w:val="000000"/>
          <w:sz w:val="26"/>
          <w:szCs w:val="26"/>
          <w:lang w:val="sr-Latn-ME"/>
        </w:rPr>
        <w:t xml:space="preserve">, </w:t>
      </w:r>
      <w:r w:rsidRPr="00D833AB">
        <w:rPr>
          <w:rFonts w:ascii="Arial Narrow" w:hAnsi="Arial Narrow" w:cs="Arial"/>
          <w:sz w:val="26"/>
          <w:szCs w:val="26"/>
          <w:lang w:val="sr-Latn-ME"/>
        </w:rPr>
        <w:t>na osnovu odredaba člana 149 stav 1 tačka 3 Ustava Crne Gore, člana 48 tačka 3 i člana 76 stav 1</w:t>
      </w:r>
      <w:r w:rsidRPr="00D833AB">
        <w:rPr>
          <w:rFonts w:cs="Arial"/>
          <w:lang w:val="sr-Latn-ME"/>
        </w:rPr>
        <w:t xml:space="preserve">  </w:t>
      </w:r>
      <w:r w:rsidRPr="00D833AB">
        <w:rPr>
          <w:rFonts w:ascii="Arial Narrow" w:hAnsi="Arial Narrow" w:cs="Arial"/>
          <w:color w:val="000000"/>
          <w:sz w:val="26"/>
          <w:szCs w:val="26"/>
          <w:lang w:val="sr-Latn-ME"/>
        </w:rPr>
        <w:t>Zakona o Ustavnom sudu Crne Gore (“Službeni list Crne Gore”, br. 11/15)</w:t>
      </w:r>
      <w:r w:rsidRPr="00D833AB">
        <w:rPr>
          <w:rFonts w:ascii="Arial Narrow" w:hAnsi="Arial Narrow" w:cs="Arial"/>
          <w:sz w:val="26"/>
          <w:szCs w:val="26"/>
          <w:lang w:val="sr-Latn-ME"/>
        </w:rPr>
        <w:t>, na sjednici Vijeća, od 16. januara 2026. godine, donio je</w:t>
      </w:r>
    </w:p>
    <w:p w:rsidR="00D833AB" w:rsidRPr="00D833AB" w:rsidRDefault="00D833AB" w:rsidP="00D833AB">
      <w:pPr>
        <w:spacing w:after="0" w:line="240" w:lineRule="auto"/>
        <w:jc w:val="both"/>
        <w:rPr>
          <w:rFonts w:ascii="Arial Narrow" w:hAnsi="Arial Narrow" w:cs="Arial"/>
          <w:color w:val="000000"/>
          <w:sz w:val="26"/>
          <w:szCs w:val="26"/>
          <w:lang w:val="sr-Latn-ME"/>
        </w:rPr>
      </w:pPr>
    </w:p>
    <w:p w:rsidR="00D833AB" w:rsidRPr="00D833AB" w:rsidRDefault="00D833AB" w:rsidP="00D833AB">
      <w:pPr>
        <w:tabs>
          <w:tab w:val="left" w:pos="0"/>
          <w:tab w:val="left" w:pos="9214"/>
        </w:tabs>
        <w:spacing w:after="0" w:line="240" w:lineRule="auto"/>
        <w:jc w:val="center"/>
        <w:rPr>
          <w:rFonts w:ascii="Arial Narrow" w:eastAsia="Times New Roman" w:hAnsi="Arial Narrow" w:cs="Tahoma"/>
          <w:b/>
          <w:sz w:val="26"/>
          <w:szCs w:val="26"/>
          <w:lang w:val="sr-Latn-ME"/>
        </w:rPr>
      </w:pPr>
      <w:r w:rsidRPr="00D833AB">
        <w:rPr>
          <w:rFonts w:ascii="Arial Narrow" w:eastAsia="Times New Roman" w:hAnsi="Arial Narrow" w:cs="Tahoma"/>
          <w:b/>
          <w:sz w:val="26"/>
          <w:szCs w:val="26"/>
          <w:lang w:val="sr-Latn-ME"/>
        </w:rPr>
        <w:t>O D L U K U</w:t>
      </w:r>
    </w:p>
    <w:p w:rsidR="00D833AB" w:rsidRPr="00D833AB" w:rsidRDefault="00D833AB" w:rsidP="00D833AB">
      <w:pPr>
        <w:tabs>
          <w:tab w:val="left" w:pos="0"/>
          <w:tab w:val="left" w:pos="9214"/>
        </w:tabs>
        <w:spacing w:after="0" w:line="240" w:lineRule="auto"/>
        <w:jc w:val="both"/>
        <w:rPr>
          <w:rFonts w:ascii="Arial Narrow" w:eastAsia="Times New Roman" w:hAnsi="Arial Narrow" w:cs="Tahoma"/>
          <w:sz w:val="26"/>
          <w:szCs w:val="26"/>
          <w:lang w:val="sr-Latn-ME"/>
        </w:rPr>
      </w:pPr>
    </w:p>
    <w:p w:rsidR="00D833AB" w:rsidRPr="00D833AB" w:rsidRDefault="00D833AB" w:rsidP="00D833AB">
      <w:pPr>
        <w:tabs>
          <w:tab w:val="left" w:pos="0"/>
        </w:tabs>
        <w:spacing w:after="0" w:line="240" w:lineRule="auto"/>
        <w:jc w:val="both"/>
        <w:rPr>
          <w:rFonts w:ascii="Arial Narrow" w:eastAsia="Times New Roman" w:hAnsi="Arial Narrow" w:cs="Tahoma"/>
          <w:sz w:val="26"/>
          <w:szCs w:val="26"/>
          <w:lang w:val="sr-Latn-ME"/>
        </w:rPr>
      </w:pPr>
      <w:r w:rsidRPr="00D833AB">
        <w:rPr>
          <w:rFonts w:ascii="Arial Narrow" w:eastAsia="Times New Roman" w:hAnsi="Arial Narrow" w:cs="Tahoma"/>
          <w:sz w:val="26"/>
          <w:szCs w:val="26"/>
          <w:lang w:val="sr-Latn-ME"/>
        </w:rPr>
        <w:tab/>
      </w:r>
      <w:r w:rsidRPr="00D833AB">
        <w:rPr>
          <w:rFonts w:ascii="Arial Narrow" w:eastAsia="Times New Roman" w:hAnsi="Arial Narrow" w:cs="Tahoma"/>
          <w:b/>
          <w:sz w:val="26"/>
          <w:szCs w:val="26"/>
          <w:lang w:val="sr-Latn-ME"/>
        </w:rPr>
        <w:t>USVAJA SE</w:t>
      </w:r>
      <w:r w:rsidRPr="00D833AB">
        <w:rPr>
          <w:rFonts w:ascii="Arial Narrow" w:eastAsia="Times New Roman" w:hAnsi="Arial Narrow" w:cs="Tahoma"/>
          <w:sz w:val="26"/>
          <w:szCs w:val="26"/>
          <w:lang w:val="sr-Latn-ME"/>
        </w:rPr>
        <w:t xml:space="preserve"> ustavna žalba. </w:t>
      </w:r>
    </w:p>
    <w:p w:rsidR="00D833AB" w:rsidRPr="00D833AB" w:rsidRDefault="00D833AB" w:rsidP="00D833AB">
      <w:pPr>
        <w:tabs>
          <w:tab w:val="left" w:pos="0"/>
        </w:tabs>
        <w:spacing w:after="0" w:line="240" w:lineRule="auto"/>
        <w:jc w:val="both"/>
        <w:rPr>
          <w:rFonts w:ascii="Arial Narrow" w:eastAsia="Times New Roman" w:hAnsi="Arial Narrow" w:cs="Tahoma"/>
          <w:sz w:val="26"/>
          <w:szCs w:val="26"/>
          <w:lang w:val="sr-Latn-ME"/>
        </w:rPr>
      </w:pPr>
    </w:p>
    <w:p w:rsidR="00D833AB" w:rsidRPr="00D833AB" w:rsidRDefault="00D833AB" w:rsidP="00D833AB">
      <w:pPr>
        <w:tabs>
          <w:tab w:val="left" w:pos="0"/>
        </w:tabs>
        <w:spacing w:after="0" w:line="240" w:lineRule="auto"/>
        <w:jc w:val="both"/>
        <w:rPr>
          <w:rFonts w:ascii="Arial Narrow" w:hAnsi="Arial Narrow"/>
          <w:sz w:val="26"/>
          <w:szCs w:val="26"/>
          <w:lang w:val="sr-Latn-ME"/>
        </w:rPr>
      </w:pPr>
      <w:r w:rsidRPr="00D833AB">
        <w:rPr>
          <w:rFonts w:ascii="Arial Narrow" w:hAnsi="Arial Narrow"/>
          <w:b/>
          <w:sz w:val="26"/>
          <w:szCs w:val="26"/>
          <w:lang w:val="sr-Latn-ME"/>
        </w:rPr>
        <w:tab/>
        <w:t>UKIDA SE</w:t>
      </w:r>
      <w:r w:rsidRPr="00D833AB">
        <w:rPr>
          <w:rFonts w:ascii="Arial Narrow" w:hAnsi="Arial Narrow"/>
          <w:sz w:val="26"/>
          <w:szCs w:val="26"/>
          <w:lang w:val="sr-Latn-ME"/>
        </w:rPr>
        <w:t xml:space="preserve"> presuda Vrhovnog suda Crne Gore, Rev. br. 17/22, od 9. februara 2023. godine i predmet vraća tom sudu na ponovni postupak i odlučivanje.</w:t>
      </w:r>
    </w:p>
    <w:p w:rsidR="00D833AB" w:rsidRPr="00D833AB" w:rsidRDefault="00D833AB" w:rsidP="00D833AB">
      <w:pPr>
        <w:tabs>
          <w:tab w:val="left" w:pos="0"/>
        </w:tabs>
        <w:spacing w:after="0" w:line="240" w:lineRule="auto"/>
        <w:jc w:val="both"/>
        <w:rPr>
          <w:rFonts w:ascii="Arial Narrow" w:eastAsia="Times New Roman" w:hAnsi="Arial Narrow" w:cs="Tahoma"/>
          <w:sz w:val="26"/>
          <w:szCs w:val="26"/>
          <w:lang w:val="sr-Latn-ME"/>
        </w:rPr>
      </w:pPr>
    </w:p>
    <w:p w:rsidR="00D833AB" w:rsidRPr="00D833AB" w:rsidRDefault="00D833AB" w:rsidP="00D833AB">
      <w:pPr>
        <w:tabs>
          <w:tab w:val="left" w:pos="0"/>
          <w:tab w:val="left" w:pos="1080"/>
        </w:tabs>
        <w:spacing w:after="0" w:line="240" w:lineRule="auto"/>
        <w:jc w:val="center"/>
        <w:rPr>
          <w:rFonts w:ascii="Arial Narrow" w:eastAsia="Times New Roman" w:hAnsi="Arial Narrow" w:cs="Tahoma"/>
          <w:b/>
          <w:sz w:val="26"/>
          <w:szCs w:val="26"/>
          <w:lang w:val="sr-Latn-ME"/>
        </w:rPr>
      </w:pPr>
      <w:r w:rsidRPr="00D833AB">
        <w:rPr>
          <w:rFonts w:ascii="Arial Narrow" w:eastAsia="Times New Roman" w:hAnsi="Arial Narrow" w:cs="Tahoma"/>
          <w:b/>
          <w:sz w:val="26"/>
          <w:szCs w:val="26"/>
          <w:lang w:val="sr-Latn-ME"/>
        </w:rPr>
        <w:t xml:space="preserve">O b r a z l o ž e nj e </w:t>
      </w:r>
    </w:p>
    <w:p w:rsidR="00D833AB" w:rsidRPr="00D833AB" w:rsidRDefault="00D833AB" w:rsidP="00D833AB">
      <w:pPr>
        <w:tabs>
          <w:tab w:val="left" w:pos="0"/>
          <w:tab w:val="left" w:pos="1080"/>
        </w:tabs>
        <w:spacing w:after="0" w:line="240" w:lineRule="auto"/>
        <w:jc w:val="center"/>
        <w:rPr>
          <w:rFonts w:ascii="Arial Narrow" w:eastAsia="Times New Roman" w:hAnsi="Arial Narrow" w:cs="Tahoma"/>
          <w:b/>
          <w:sz w:val="26"/>
          <w:szCs w:val="26"/>
          <w:lang w:val="sr-Latn-ME"/>
        </w:rPr>
      </w:pPr>
    </w:p>
    <w:p w:rsidR="00D833AB" w:rsidRPr="00D833AB" w:rsidRDefault="00D833AB" w:rsidP="00D833AB">
      <w:pPr>
        <w:spacing w:after="160" w:line="259" w:lineRule="auto"/>
        <w:ind w:firstLine="708"/>
        <w:rPr>
          <w:rFonts w:ascii="Arial Narrow" w:hAnsi="Arial Narrow"/>
          <w:b/>
          <w:sz w:val="26"/>
          <w:szCs w:val="26"/>
          <w:lang w:val="sr-Latn-ME"/>
        </w:rPr>
      </w:pPr>
      <w:r w:rsidRPr="00D833AB">
        <w:rPr>
          <w:rFonts w:ascii="Arial Narrow" w:hAnsi="Arial Narrow"/>
          <w:b/>
          <w:sz w:val="26"/>
          <w:szCs w:val="26"/>
          <w:lang w:val="sr-Latn-ME"/>
        </w:rPr>
        <w:t>I  POSTUPAK PRED USTAVNIM SUDOM CRNE GORE</w:t>
      </w:r>
    </w:p>
    <w:p w:rsidR="00D833AB" w:rsidRPr="00D833AB" w:rsidRDefault="00D833AB" w:rsidP="00D833AB">
      <w:pPr>
        <w:tabs>
          <w:tab w:val="left" w:pos="0"/>
          <w:tab w:val="left" w:pos="1080"/>
        </w:tabs>
        <w:spacing w:after="0" w:line="240" w:lineRule="auto"/>
        <w:jc w:val="center"/>
        <w:rPr>
          <w:rFonts w:ascii="Arial Narrow" w:eastAsia="Times New Roman" w:hAnsi="Arial Narrow" w:cs="Tahoma"/>
          <w:b/>
          <w:sz w:val="26"/>
          <w:szCs w:val="26"/>
          <w:lang w:val="sr-Latn-ME"/>
        </w:rPr>
      </w:pPr>
    </w:p>
    <w:p w:rsidR="00D833AB" w:rsidRPr="00D833AB" w:rsidRDefault="00D833AB" w:rsidP="00D833AB">
      <w:pPr>
        <w:tabs>
          <w:tab w:val="left" w:pos="0"/>
        </w:tabs>
        <w:spacing w:after="0" w:line="240" w:lineRule="auto"/>
        <w:jc w:val="both"/>
        <w:rPr>
          <w:rFonts w:ascii="Arial Narrow" w:hAnsi="Arial Narrow"/>
          <w:sz w:val="26"/>
          <w:szCs w:val="26"/>
          <w:lang w:val="sr-Latn-ME"/>
        </w:rPr>
      </w:pPr>
      <w:r w:rsidRPr="00D833AB">
        <w:rPr>
          <w:rFonts w:ascii="Arial Narrow" w:eastAsia="Times New Roman" w:hAnsi="Arial Narrow" w:cs="Tahoma"/>
          <w:b/>
          <w:sz w:val="26"/>
          <w:szCs w:val="26"/>
          <w:lang w:val="sr-Latn-ME"/>
        </w:rPr>
        <w:tab/>
        <w:t>1</w:t>
      </w:r>
      <w:r w:rsidRPr="00D833AB">
        <w:rPr>
          <w:rFonts w:ascii="Arial Narrow" w:eastAsia="Times New Roman" w:hAnsi="Arial Narrow" w:cs="Tahoma"/>
          <w:sz w:val="26"/>
          <w:szCs w:val="26"/>
          <w:lang w:val="sr-Latn-ME"/>
        </w:rPr>
        <w:t xml:space="preserve">. </w:t>
      </w:r>
      <w:r w:rsidRPr="00D833AB">
        <w:rPr>
          <w:rFonts w:ascii="Arial Narrow" w:hAnsi="Arial Narrow"/>
          <w:sz w:val="26"/>
          <w:szCs w:val="26"/>
          <w:lang w:val="sr-Latn-ME"/>
        </w:rPr>
        <w:t>I</w:t>
      </w:r>
      <w:r>
        <w:rPr>
          <w:rFonts w:ascii="Arial Narrow" w:hAnsi="Arial Narrow"/>
          <w:sz w:val="26"/>
          <w:szCs w:val="26"/>
          <w:lang w:val="sr-Latn-ME"/>
        </w:rPr>
        <w:t>.</w:t>
      </w:r>
      <w:r w:rsidRPr="00D833AB">
        <w:rPr>
          <w:rFonts w:ascii="Arial Narrow" w:hAnsi="Arial Narrow"/>
          <w:sz w:val="26"/>
          <w:szCs w:val="26"/>
          <w:lang w:val="sr-Latn-ME"/>
        </w:rPr>
        <w:t xml:space="preserve"> R</w:t>
      </w:r>
      <w:r>
        <w:rPr>
          <w:rFonts w:ascii="Arial Narrow" w:hAnsi="Arial Narrow"/>
          <w:sz w:val="26"/>
          <w:szCs w:val="26"/>
          <w:lang w:val="sr-Latn-ME"/>
        </w:rPr>
        <w:t>.</w:t>
      </w:r>
      <w:r w:rsidRPr="00D833AB">
        <w:rPr>
          <w:rFonts w:ascii="Arial Narrow" w:hAnsi="Arial Narrow"/>
          <w:sz w:val="26"/>
          <w:szCs w:val="26"/>
          <w:lang w:val="sr-Latn-ME"/>
        </w:rPr>
        <w:t>, iz P</w:t>
      </w:r>
      <w:r>
        <w:rPr>
          <w:rFonts w:ascii="Arial Narrow" w:hAnsi="Arial Narrow"/>
          <w:sz w:val="26"/>
          <w:szCs w:val="26"/>
          <w:lang w:val="sr-Latn-ME"/>
        </w:rPr>
        <w:t>.</w:t>
      </w:r>
      <w:r w:rsidRPr="00D833AB">
        <w:rPr>
          <w:rFonts w:ascii="Arial Narrow" w:hAnsi="Arial Narrow"/>
          <w:sz w:val="26"/>
          <w:szCs w:val="26"/>
          <w:lang w:val="sr-Latn-ME"/>
        </w:rPr>
        <w:t>, podnijela je dozvoljenu i blagovremenu ustavnu žalbu protiv presude Vrhovnog suda Crne Gore, Rev. br. 17/22, od 9. februara 2023. godine zbog povrede prava iz odredaba čl. 8, 17, 18, 20, 28, 32, 40, 62 i 64 Ustava Crne Gore i čl. 8 i 14 Evropske Konvencije za zaštitu ljudskih prava i osnovnih sloboda i Protokola broj 12 uz Konvenciju.</w:t>
      </w:r>
    </w:p>
    <w:p w:rsidR="00D833AB" w:rsidRPr="00D833AB" w:rsidRDefault="00D833AB" w:rsidP="00D833AB">
      <w:pPr>
        <w:tabs>
          <w:tab w:val="left" w:pos="0"/>
        </w:tabs>
        <w:spacing w:after="0" w:line="240" w:lineRule="auto"/>
        <w:ind w:firstLine="720"/>
        <w:jc w:val="both"/>
        <w:rPr>
          <w:rFonts w:ascii="Arial Narrow" w:hAnsi="Arial Narrow"/>
          <w:sz w:val="26"/>
          <w:szCs w:val="26"/>
          <w:lang w:val="sr-Latn-ME"/>
        </w:rPr>
      </w:pPr>
    </w:p>
    <w:p w:rsidR="00D833AB" w:rsidRPr="00D833AB" w:rsidRDefault="00D833AB" w:rsidP="00D833AB">
      <w:pPr>
        <w:tabs>
          <w:tab w:val="left" w:pos="0"/>
        </w:tabs>
        <w:spacing w:after="0" w:line="240" w:lineRule="auto"/>
        <w:ind w:firstLine="720"/>
        <w:jc w:val="both"/>
        <w:rPr>
          <w:rFonts w:ascii="Arial Narrow" w:hAnsi="Arial Narrow"/>
          <w:sz w:val="26"/>
          <w:szCs w:val="26"/>
          <w:lang w:val="sr-Latn-ME"/>
        </w:rPr>
      </w:pPr>
      <w:r w:rsidRPr="00D833AB">
        <w:rPr>
          <w:rFonts w:ascii="Arial Narrow" w:hAnsi="Arial Narrow"/>
          <w:b/>
          <w:sz w:val="26"/>
          <w:szCs w:val="26"/>
          <w:lang w:val="sr-Latn-ME"/>
        </w:rPr>
        <w:t>2.</w:t>
      </w:r>
      <w:r w:rsidRPr="00D833AB">
        <w:rPr>
          <w:rFonts w:ascii="Arial Narrow" w:hAnsi="Arial Narrow"/>
          <w:sz w:val="26"/>
          <w:szCs w:val="26"/>
          <w:lang w:val="sr-Latn-ME"/>
        </w:rPr>
        <w:t xml:space="preserve"> U ustavnoj žalbi je, u bitnom navedeno: da je Vrhovni sud Crne Gore, prilikom odlučivanja, imao površan i arbitreran pristup, što je za posljedicu imalo obrazloženje bez valjanih razloga; da je prekršeno načelo jednakosti oružja, jer je podnositeljki ustavne žalbe uskraćeno provođenje dokaza koje je predložila pred nižestepenim sudovima; da je okidač mobinga bio kada je podnositeljka, kao viceguvernerka nadležna za Sektor za kontrolu banaka u Centralnoj banci Crne Gore, u oktobru 2017. godine, odbila da se povinuje nezakonitim pritiscima guvernera Centralne banke, i sačini predlog za neosnovanu smjenu glavnog izvršnog direktora Addiko banke, nakon čega je nastupila odmazda prema njoj, kroz kontinuirano diskriminatorsko ponašanje i direktan mobing u osmomjesečnom trajanju, koji je eskalirao podnošenjem predloga za nezakonito razrješenje podnositeljke; da je tužena strana u postupku odbila da dostavi materijalne dokaze, koji potvrđuju tačnost tvrdnji podnositeljke o selektivnosti u kontroli banaka, u smislu da su neke banke, po nalogu guvernera, kontrolisane više puta tokom godine, dok određene „privilegovane“ banke nijesu kontrolisane po tri godine, uprkos obavezi da se to čini; da su takvi nalozi guvernera  davani zaposlenima u Sektoru za kontrolu banaka direktno od strane guvernera ili posredstvom trećih lica, a zanemarivanjem nadležnosti podnositeljke, kao viceguvernerke zadužene za kontrolu banaka; da je guverner, u periodu od nekoliko nedjelja, ukrivao podnositeljki kao nadležnoj viceguvernerki, i direktoru sektora kontrole banaka Bulatoviću problematične upute iz Prve Banke, nužne za izradu procjene uticaja međunarodnog standarda finansijskog izvještaja (IFRS 9) na banke, a što predstavlja vitalne podatke za obavljanje posla podnositeljke; da je podnositeljka, nakon što je saznala da je na Savjet Centralne banke upućen materijal sa novom regulativom za primjenu standarda IFRS, sa čijim sadržajem nije upoznata, uputila guverneru predlog za povlačenje predmetnog predloga pravnih akata sa dnevnog reda, na doradu, što guverner nije prihvatio; da, nakon navedenog, nastupa period potpunog guvernerovog odbijanja direktne komunikacije za potrebe obavljanja posla sa podnositeljkom; da u istom periodu, drugotuženi zadužuje </w:t>
      </w:r>
      <w:r w:rsidRPr="00D833AB">
        <w:rPr>
          <w:rFonts w:ascii="Arial Narrow" w:hAnsi="Arial Narrow"/>
          <w:sz w:val="26"/>
          <w:szCs w:val="26"/>
          <w:lang w:val="sr-Latn-ME"/>
        </w:rPr>
        <w:lastRenderedPageBreak/>
        <w:t>drugog viceguvernera, N</w:t>
      </w:r>
      <w:r>
        <w:rPr>
          <w:rFonts w:ascii="Arial Narrow" w:hAnsi="Arial Narrow"/>
          <w:sz w:val="26"/>
          <w:szCs w:val="26"/>
          <w:lang w:val="sr-Latn-ME"/>
        </w:rPr>
        <w:t>.</w:t>
      </w:r>
      <w:r w:rsidRPr="00D833AB">
        <w:rPr>
          <w:rFonts w:ascii="Arial Narrow" w:hAnsi="Arial Narrow"/>
          <w:sz w:val="26"/>
          <w:szCs w:val="26"/>
          <w:lang w:val="sr-Latn-ME"/>
        </w:rPr>
        <w:t xml:space="preserve"> F</w:t>
      </w:r>
      <w:r>
        <w:rPr>
          <w:rFonts w:ascii="Arial Narrow" w:hAnsi="Arial Narrow"/>
          <w:sz w:val="26"/>
          <w:szCs w:val="26"/>
          <w:lang w:val="sr-Latn-ME"/>
        </w:rPr>
        <w:t>.</w:t>
      </w:r>
      <w:r w:rsidRPr="00D833AB">
        <w:rPr>
          <w:rFonts w:ascii="Arial Narrow" w:hAnsi="Arial Narrow"/>
          <w:sz w:val="26"/>
          <w:szCs w:val="26"/>
          <w:lang w:val="sr-Latn-ME"/>
        </w:rPr>
        <w:t>, poslovima iz nadležnosti podnositeljke, a takođe je došlo do smjene rukovodilaca u Sektoru kontrole banaka bez konsultacije sa podnositeljkom ili bilo kakvog obrazloženja bilo njoj ili zaposlenom koji se smjenjuje; da je drugotuženi u pisanoj komunikaciji, upućenoj na adresu svih sedam članova Savjeta Centralne banke i nekolicini pridruženih članova, vrijeđao podnositeljku ustavne žalbe, optužujući je za „amaterizam i spletkarenje“, kvalifikujući je kao „neprofesionalnu i zlonamjernu“, čime je povrijedio ugled, dostojanstvo, lični i profesionalni integritet podnositeljke; da je drugotuženi podnositeljki uskratio mogućnost odgovarajućeg komuniciranja, budući da je sa podnositeljkom komunicirao jedino pisanim putem; da je drugotuženi ignorisao prisustvo podnositeljke na poslu, neopravdano oduzimao sredstva potrebna za obavljanje posla, nije je pozivao na zajedničke sastanke, bez davanja prihvatljivog obrazloženja za takve postupke; da je drugotuženi omalovažavao rezultate rada podnositeljke, uskraćivao joj radne zadatke, neopravdano potrebama procesa rada, čime je doveo do neravnomjerne raspodjele radnih zadataka u odnosu na druge zaposlene koji obavljaju istu vrstu posla; da je drugotuženi podnositeljku isključio sa sastanaka sa rukovodstvom domaćih i inostranih banaka, uz nedostavljanje informacija o održavanju sastanaka i sadržaju i razmjeni podataka sa istih, iako su takvi kontakti i podaci bili nužni za obavljanje posla podnositeljke; da je do perioda otvorenog mobinga podnositeljka redovno prisustvovala sastancima sa poslovnim bankama i bila sastavni dio delegacija prilikom eksternih posjeta centralnim bankama, što ukazuje da je podnositeljka izolovana iz procesa rada s ciljem da se povrijedi njeno dostojanstvo, ugled i lični i profesionalni integritet; da je podnositeljka isključena iz posjete rukovodstva Centralne banke Crne Gore Centralnoj banci Njemačke, gdje je glavna tema bila kontrola banaka i implementacija Twinning projekta, za koje poslove je jedino podnositeljka sa svojim timom bila nadležna i odgovorna, dok su u delagaciji tom prilikom bili guverner i druga dva viceguvernera; da je obrazloženje sudova da nije postojala zakonska obaveza za prisustvo podnositeljke na navedenom sastanku, proizvoljno i evidentan je primjer obesmišljavanja konteksta, kontinuiteta i metodologije moberskog postupanja, posebno kada se ima u vidu da zakonska obaveza prisustva nije postojala ni za dvojicu drugih viceguvernera; da je podnositeljka dana 6. decembra 2017. godine, sazvala sastanak za 10.30h, gdje je pozvala direktora i šefa pravnog tima Sektora kontrole banaka D.B</w:t>
      </w:r>
      <w:r>
        <w:rPr>
          <w:rFonts w:ascii="Arial Narrow" w:hAnsi="Arial Narrow"/>
          <w:sz w:val="26"/>
          <w:szCs w:val="26"/>
          <w:lang w:val="sr-Latn-ME"/>
        </w:rPr>
        <w:t>.</w:t>
      </w:r>
      <w:r w:rsidRPr="00D833AB">
        <w:rPr>
          <w:rFonts w:ascii="Arial Narrow" w:hAnsi="Arial Narrow"/>
          <w:sz w:val="26"/>
          <w:szCs w:val="26"/>
          <w:lang w:val="sr-Latn-ME"/>
        </w:rPr>
        <w:t xml:space="preserve"> i M.Ć</w:t>
      </w:r>
      <w:r>
        <w:rPr>
          <w:rFonts w:ascii="Arial Narrow" w:hAnsi="Arial Narrow"/>
          <w:sz w:val="26"/>
          <w:szCs w:val="26"/>
          <w:lang w:val="sr-Latn-ME"/>
        </w:rPr>
        <w:t>.</w:t>
      </w:r>
      <w:r w:rsidRPr="00D833AB">
        <w:rPr>
          <w:rFonts w:ascii="Arial Narrow" w:hAnsi="Arial Narrow"/>
          <w:sz w:val="26"/>
          <w:szCs w:val="26"/>
          <w:lang w:val="sr-Latn-ME"/>
        </w:rPr>
        <w:t>, kao i pravne savjetnice drugotuženog N.Marović i D.T</w:t>
      </w:r>
      <w:r>
        <w:rPr>
          <w:rFonts w:ascii="Arial Narrow" w:hAnsi="Arial Narrow"/>
          <w:sz w:val="26"/>
          <w:szCs w:val="26"/>
          <w:lang w:val="sr-Latn-ME"/>
        </w:rPr>
        <w:t>.</w:t>
      </w:r>
      <w:r w:rsidRPr="00D833AB">
        <w:rPr>
          <w:rFonts w:ascii="Arial Narrow" w:hAnsi="Arial Narrow"/>
          <w:sz w:val="26"/>
          <w:szCs w:val="26"/>
          <w:lang w:val="sr-Latn-ME"/>
        </w:rPr>
        <w:t xml:space="preserve">, a radi definisanja stava za potencijalno uvođenje stečaja u Atlas banci; da je mober istog dana, neprijatnim i povišenim tonom, telefonskim putem zahtijevao od podnositeljke da otkaže navedeni sastanak, na koji način je isključuje sa sastanka koji je ona zakazala i htjela da organizuje, budući da se radi o pitanju iz domena kontole banaka; da je sastanak održan u prisustvu prvih saradnika podnositeljke i pravnim savjetnicama guvernera, dakle istim licima koje je podnositeljka na sastanak pozvala, a jedino je ona bila izopštena, pri čemu je na navedeni sastanak došao guverner; da je podnositeljka guverneru poslala e- mail, u kojem je izrazila negodovanje povodom prednjeg događaja, koji dokaz je sudu dostavljen 5 mjeseci prije zaključenja glavne rasprave, u uslovima kada je većina dokaza obje strane predlagana u kasnijoj fazi, ali je uprkos tome, prvostepeni sud odbio da provede navedeni dokaz, uz obrazloženje da je isti predložen u završnoj fazi postupka; da su u periodu od 25. decembra 2017. godine do 12. marta 2018. godine, podnositeljki šest puta oduzimana, mijenjana  i sužavana ovlašćenja,  dok, na kraju, u potpunosti nije isključena iz procesa rada oduzimanjem svih nadležnosti i zaposlenih; da je odlukom guvernera o izmjenama Pravilnika o sistematizaciji od 25. decembra 2017. godine, podnositeljki oduzet sektor kontrole banaka, bez prethodnog upozorenja ili bilo kakvog kontakta, na koji način je guverner sva dotadašnja zaduženja podnositeljke prenio na sebe; da je za navedene izmjene sistematizacije i novi Pravilnik, podnositeljka saznala od zaposlenih, koji su o prednjem informisani preko objave službe za </w:t>
      </w:r>
      <w:r w:rsidRPr="00D833AB">
        <w:rPr>
          <w:rFonts w:ascii="Arial Narrow" w:hAnsi="Arial Narrow"/>
          <w:sz w:val="26"/>
          <w:szCs w:val="26"/>
          <w:lang w:val="sr-Latn-ME"/>
        </w:rPr>
        <w:lastRenderedPageBreak/>
        <w:t>ljudske resurse Centralne banke na sajtu Centralne banke; da joj je odlukom guvernera o prenosu pojedinih poslova, od 27. decembra 2017. godine, dodijeljen do tada nepostojeći sektor za kontrolu pružanja finansijskih usluga - kontrolu nebankarskih institucija, koji, kao takav, ne postoji ni u jednoj centralnoj banci u okruženju ili EU, jer nebankarske institucije u praksi nijesu uopšte dio nadležnosti centralnih banaka; da je novoformirani sektor do tada planiran samo kao malo odjeljenje u Sektoru kontrole banaka, kojim je podnositeljka rukovodila; da je ova odluka imala isključivo zlostavljački karakter najilustrativnije govori podatak da ovaj sektor ne postoji ni nakon pravosnažne sudske odluke u ovom postupku; da je odlukom guvernera od 17. januara 2018. godine podnositeljki oduzeta funkcija zamjenika predsjednika Investicionog komiteta; da je odlukom guvernera o izmjeni odluke o prenosu pojedinih poslova na podnositeljku, od 1. februara 2018. godine, podnositeljki oduzeta nadležnost koja se odnosi na kreditni registar; da nakon što je podnositeljka guverneru podnijela formalni zahtjev za zaštitu od mobinga od 7. marta 2018. godine, guverner je dana 12. marta 2018. godine donio Odluku o prestanku važenja Odluke o prenosu pojedinih poslova na podnositeljku, a istog dana i Odluku o izmjeni Odluke o formiranju Investicionog komiteta, kojom je podnositeljka isključena iz članstva u Investicionom komitetu, uz obrazloženje da njeno dalje učešće u Investicionom komitetu nije cjelishodno,  dok su članstvo u navedenom tijelu nastavili guverner i druga dva viceguvernera; da su pet dana nakon podnošenja formalnog zahtjeva za zaštitu od zlostavljanja na raju, odlukama guvernera, podnositeljki oduzete sve nadležnosti, radni zadaci, sektor i zaposleni – sindrom „praznog stola“, o kojim radnjama tuženi nijesu našli za shodno da obavijeste podnositeljku, već je o prednjem, informisana od saradnice M.G., što jasno proizilazi i iz svjedočkog iskaza M.G.; da je namjera mobera, prilikom dodijeljivanja podnositeljki novoformiranog sektora za kontrolu nebankarskih finansijskih institucija, bila usmjerena na izolaciju podnositeljke, kako od kolektiva, tako  i od mogućnosti ostvarivanja kontakata sa bankama u crnogorskom sistemu, Evropskom centralnog bankom i nacionalnim centralnim bankama u EU, kao i centralnim bankama u regionu, budući da nijedna od tih centralnih banaka nije imala i nema nadležnosti za nebankarske finansijske institucije; da u prilog prednjem stoji činjenica da navedeni sektor danas u Centralnoj banci ne postoji, već je taj sektor integrisan u onaj isti Sektor kontrole banaka u čijem je sastavu nekad bio, a kojim je rukovodila podnositeljka; da su, za razliku od podnositeljke, druga dva viceguvernera u spornom periodu, imala nadležnosti koje se odnose na bankarski sektor; da je podnositeljka, od momenta preuzimanja fiktivnog sektora, pa do podnošenja zahtjeva za zaštitu od mobinga, u tom sektoru imala samo 3 zaposlena, dok je ranije imala 50 zaposlenih pod svojom ingerencijom, i dok su druga dva viceguvernera u svojim sektorima imali 70, odnosno 80 zaposlenih; da novoformirani sektor nije imao nikakve stvarne nadležnosti, osim izrade pravne regulative, što potvrđuje tezu o njegovoj fiktivnosti; da su zaposleni novog Sektora, bili fizički izmješteni u drugu zgradu i udaljeni od podnositeljke; da su sudovi, bez sagledavanja konteksta, kontinuiteta i vremena preduzimanja radnje mobera pokušavali opravdati njegovim diskrecionim odlukama; da je podnositeljka, od momenta imenovanja na funkciju viceguvernerke, u martu 2017. godine, kontinuirano ostvarivala niža primanja u odnosu na kolegu – viceguvernera N</w:t>
      </w:r>
      <w:r>
        <w:rPr>
          <w:rFonts w:ascii="Arial Narrow" w:hAnsi="Arial Narrow"/>
          <w:sz w:val="26"/>
          <w:szCs w:val="26"/>
          <w:lang w:val="sr-Latn-ME"/>
        </w:rPr>
        <w:t>.</w:t>
      </w:r>
      <w:r w:rsidRPr="00D833AB">
        <w:rPr>
          <w:rFonts w:ascii="Arial Narrow" w:hAnsi="Arial Narrow"/>
          <w:sz w:val="26"/>
          <w:szCs w:val="26"/>
          <w:lang w:val="sr-Latn-ME"/>
        </w:rPr>
        <w:t xml:space="preserve"> F</w:t>
      </w:r>
      <w:r>
        <w:rPr>
          <w:rFonts w:ascii="Arial Narrow" w:hAnsi="Arial Narrow"/>
          <w:sz w:val="26"/>
          <w:szCs w:val="26"/>
          <w:lang w:val="sr-Latn-ME"/>
        </w:rPr>
        <w:t>.</w:t>
      </w:r>
      <w:r w:rsidRPr="00D833AB">
        <w:rPr>
          <w:rFonts w:ascii="Arial Narrow" w:hAnsi="Arial Narrow"/>
          <w:sz w:val="26"/>
          <w:szCs w:val="26"/>
          <w:lang w:val="sr-Latn-ME"/>
        </w:rPr>
        <w:t xml:space="preserve">, što je omogućio upravo mober, obzriom da su razliku u primanjima, uprkos istim koeficijentima složenosti poslova, omogućavali varijabilni djelovi zarade, koji su bili diskreciona odluka guvernera; da iz dokaza provedenih u postupku, proizilazi da je podnositeljka, u periodu od 6. marta 2017. godine do 31. decembra 2017. godine, po osnovu pojedinačnih odluka guvernera, uskraćena za iznos od 19.310,59 eura u odnosu na viceguvernera </w:t>
      </w:r>
      <w:r>
        <w:rPr>
          <w:rFonts w:ascii="Arial Narrow" w:hAnsi="Arial Narrow"/>
          <w:sz w:val="26"/>
          <w:szCs w:val="26"/>
          <w:lang w:val="sr-Latn-ME"/>
        </w:rPr>
        <w:t>N.F.</w:t>
      </w:r>
      <w:r w:rsidRPr="00D833AB">
        <w:rPr>
          <w:rFonts w:ascii="Arial Narrow" w:hAnsi="Arial Narrow"/>
          <w:sz w:val="26"/>
          <w:szCs w:val="26"/>
          <w:lang w:val="sr-Latn-ME"/>
        </w:rPr>
        <w:t xml:space="preserve">, što čini 52,65% ostvarenih primanja podnositeljke ustavne žalbe za isti peirod, a u periodu od 1. januara 2018. godine do 5. jula 2018. godine, uskraćena za iznos od 9.905,70 eura u odnosu na istog kolegu, što čini 43,08 % ostvarenih </w:t>
      </w:r>
      <w:r w:rsidRPr="00D833AB">
        <w:rPr>
          <w:rFonts w:ascii="Arial Narrow" w:hAnsi="Arial Narrow"/>
          <w:sz w:val="26"/>
          <w:szCs w:val="26"/>
          <w:lang w:val="sr-Latn-ME"/>
        </w:rPr>
        <w:lastRenderedPageBreak/>
        <w:t xml:space="preserve">primanja podnositeljke za taj period; da je podnositeljka tokom 2017. i 2018. godine, provodila veći broj radnih sati na radnom mjestu, budući da je viceguverner </w:t>
      </w:r>
      <w:r>
        <w:rPr>
          <w:rFonts w:ascii="Arial Narrow" w:hAnsi="Arial Narrow"/>
          <w:sz w:val="26"/>
          <w:szCs w:val="26"/>
          <w:lang w:val="sr-Latn-ME"/>
        </w:rPr>
        <w:t>N.F.</w:t>
      </w:r>
      <w:r w:rsidRPr="00D833AB">
        <w:rPr>
          <w:rFonts w:ascii="Arial Narrow" w:hAnsi="Arial Narrow"/>
          <w:sz w:val="26"/>
          <w:szCs w:val="26"/>
          <w:lang w:val="sr-Latn-ME"/>
        </w:rPr>
        <w:t xml:space="preserve"> živio i imao zaposlenje u Beogradu, pa je na posao u Centralnu banku dolazio u prosjeku po dva dana nedjeljno; da je guverner, bez opravdanog razloga, odbio da podnositeljki potpiše saglasnost i preporuku za besplatno stručno usavršavanje, bez bilo kakvog troška za Centralnu banku osim avio karte i predložio joj da joj preporuku, koju odobrava i potpisuje nadređeni, potpiše kolega viceguverner </w:t>
      </w:r>
      <w:r>
        <w:rPr>
          <w:rFonts w:ascii="Arial Narrow" w:hAnsi="Arial Narrow"/>
          <w:sz w:val="26"/>
          <w:szCs w:val="26"/>
          <w:lang w:val="sr-Latn-ME"/>
        </w:rPr>
        <w:t>N.F.</w:t>
      </w:r>
      <w:r w:rsidRPr="00D833AB">
        <w:rPr>
          <w:rFonts w:ascii="Arial Narrow" w:hAnsi="Arial Narrow"/>
          <w:sz w:val="26"/>
          <w:szCs w:val="26"/>
          <w:lang w:val="sr-Latn-ME"/>
        </w:rPr>
        <w:t xml:space="preserve">, koji je na istom hijerarhijskom nivou; da je nakon podnošenja tužbe za mobing sudu, mober iznenada dozvolio odlazak podnositeljke na stručno usavršavanje, kako bi mogao jednostavnije pripremiti i realizovati nezakonitu smjenu podnositeljke, u njenom odsustvu; da su zaposleni, koji su zbog korektnih odnosa sa podnositeljkom, bili predmet odmazde guvernera, pri čemu je kolegama skretana pažnja da ne komuniciraju sa podnositeljkom, što je za posljedicu imalo da komjunikacije zapolsenih sa podnositeljkom više nije bilo i gotovo da niko više nije ulazio u njen kabinet, što je u svom svjedočkom iskazu ekspilicitno navela </w:t>
      </w:r>
      <w:r>
        <w:rPr>
          <w:rFonts w:ascii="Arial Narrow" w:hAnsi="Arial Narrow"/>
          <w:sz w:val="26"/>
          <w:szCs w:val="26"/>
          <w:lang w:val="sr-Latn-ME"/>
        </w:rPr>
        <w:t>M.G.</w:t>
      </w:r>
      <w:r w:rsidRPr="00D833AB">
        <w:rPr>
          <w:rFonts w:ascii="Arial Narrow" w:hAnsi="Arial Narrow"/>
          <w:sz w:val="26"/>
          <w:szCs w:val="26"/>
          <w:lang w:val="sr-Latn-ME"/>
        </w:rPr>
        <w:t xml:space="preserve">; da je podnositeljki, u uslovima stresa i prisustva vlage i buđi u kabinetu, dijagnostifikovana astma u oktobru i novembru 2017. godine, u kom pravcu je podnositeljka upućivala molbe i zahtjeve guverneru i Savjetu Centralne banke, ali po tom pitanju nije urađeno ništa, uprkos formalnim nalozima Savjeta Centralne banke konstatovanim u zapisnicima od oktobra i novembra 2017. godine da se aktivnosti na uklanjanju vlage i buđi u kabinetu podnositeljke preduzmu odmah i deklarativnoj posvećenosti mobera; da u istom periodu, u kabinetima druga dva viceguvernera nije bilo vlage i buđi, i u njima su uredno izvođeni opsežni investiciono građevinski radovi; da je postojanje vlage u kabinetu podnositeljke, tokom cjelokupnog perioda mobinga, značajno ugrozilo i pogoršalo njeno zdravstveno stanje, što nesumnjivo proizilazi iz inicijalnog i dopunskog nalaza i mišljenja vještaka medicinske struke dr Jelena Borovinić Bojović, koja je navela da je nesumnjivo da podnositeljka ima astmu, koja je provocirana faktorom vlage i emocionalnim stresom; da je podnositeljka, shodno odredbi člana 24 Zakona o zabrani zlostavljanja na radu, od momenta pokretanja postupka za zašttiu od mobinga, morala uživati posebnu zaštitu i nije smjela biti stavljena u nepovoljniji položaj u pogledu ostvarivanja prava i obaveza po osnovu rada, što se u konkretnom desilo; da isti Zakon u odredbi člana 15 propisuje da se postupak posredovanja pokreće 3 dana od prijema pisanog zahtjeva za pokretanje postupka za zaštitu od mobinga, a u odredbi člana 20 propisan je imperativni rok od 8 dana, za okončanje postupka posredovanja, koji rokovi su u konkretnom slučaju grubo prekršeni, jer je postupak posredovanja okončan tek 16. aprila 2018. godine; da podnositeljka, shodno odredbi člana 7 Zakona o zabrani zlostavljanja na radu, nije upoznata sa pravima obavezama i odgovornostima u vezi sa mobingom, kao ni sa imenovanjem posrednika  u postupku; da je podnositeljka od 7. marta 2018. godine izopšena sa svih kolegijuma, iako je bila predmet razmatranja na istim, u negativnom i kompromitujućem kontekstu; da je podnositeljki, nakon pokretanja postupka za zaštitu od diskriminacije i mobinga, onemogućeno da prisustvuje sjednicama Savjeta Centralne banke, jer drugotuženi iste nije ni zakazivao, s ciljem da podnositeljku potpuno izoluje; da ne postoji nijedan mjesec tokom 2017. i 2018. godine, do podnošenja tužbe za mobing, da nije održana sjednica Savjeta, a nakon podnošenja tužbe u aprilu 2018. godine, nije bilo sjednica Savjeta sve do odlaska podnositeljke u Beč na višenedjeljno stručno usavršavanje, kada su, tokom njenog odsustva, za samo tri nedjelje održane tri sjednice Savjeta  i to 6. juna, 28. juna i 2. jula; da je nakon podnošenja tužbe za zaštitu od mobinga, mober dana 24. maja 2018. godine, podnio krivičnu prijavu protiv podnositeljke, zbog navodnog odavanja poslovne tajne od strane podnositeljke prilikom podnošenja tužbe, koja krivična prijava je odbačena; da je podnositeljka u periodu od 27. aprila 2018. godine do 24. maja 2018. godine bila na bolovanju, sa dijagnozom F:43 ( reakcija na težak stres i poremećaj prilagođavanja, kao direktnom posledicom kontinuiranih </w:t>
      </w:r>
      <w:r w:rsidRPr="00D833AB">
        <w:rPr>
          <w:rFonts w:ascii="Arial Narrow" w:hAnsi="Arial Narrow"/>
          <w:sz w:val="26"/>
          <w:szCs w:val="26"/>
          <w:lang w:val="sr-Latn-ME"/>
        </w:rPr>
        <w:lastRenderedPageBreak/>
        <w:t xml:space="preserve">zlostavljačkih radnji), u kojem periodu joj je mober pet puta isključio mobilni telefon, dok ju je Telenor pisanim putem obavijestio da je izmještena iz paketa Centralne banke Crne Gore 3 (guverner i viceguverneri); da guverner i druga dva viceguvernera nijesu imali problema sa isključenjima mobilnih telefona; da je u pisanom odgovoru Telenora, odgovorno lice potvrdilo da je broj mobilnog telefona podnositeljke prebačen u drugi tarifni paket, po nalogu Iivana Boškovića, direktora u sektoru IT Centralne banke, koji je inače sestrić guvernera; da je bliska saradnica podnositeljke </w:t>
      </w:r>
      <w:r>
        <w:rPr>
          <w:rFonts w:ascii="Arial Narrow" w:hAnsi="Arial Narrow"/>
          <w:sz w:val="26"/>
          <w:szCs w:val="26"/>
          <w:lang w:val="sr-Latn-ME"/>
        </w:rPr>
        <w:t>M.G.</w:t>
      </w:r>
      <w:r w:rsidRPr="00D833AB">
        <w:rPr>
          <w:rFonts w:ascii="Arial Narrow" w:hAnsi="Arial Narrow"/>
          <w:sz w:val="26"/>
          <w:szCs w:val="26"/>
          <w:lang w:val="sr-Latn-ME"/>
        </w:rPr>
        <w:t xml:space="preserve">, koja je po povratku podnositeljke sa bolovanja, jedina komunicirala sa njom, postala predmet naglašenih i učestalih zlostavljačkih radnji, uprkos nedavanju povoda za iste, od strane rukovoditeljke Sektora za ljudske resurse </w:t>
      </w:r>
      <w:r>
        <w:rPr>
          <w:rFonts w:ascii="Arial Narrow" w:hAnsi="Arial Narrow"/>
          <w:sz w:val="26"/>
          <w:szCs w:val="26"/>
          <w:lang w:val="sr-Latn-ME"/>
        </w:rPr>
        <w:t>A.Š.</w:t>
      </w:r>
      <w:r w:rsidRPr="00D833AB">
        <w:rPr>
          <w:rFonts w:ascii="Arial Narrow" w:hAnsi="Arial Narrow"/>
          <w:sz w:val="26"/>
          <w:szCs w:val="26"/>
          <w:lang w:val="sr-Latn-ME"/>
        </w:rPr>
        <w:t xml:space="preserve">; da o prednjem svjedoči e- mail </w:t>
      </w:r>
      <w:r>
        <w:rPr>
          <w:rFonts w:ascii="Arial Narrow" w:hAnsi="Arial Narrow"/>
          <w:sz w:val="26"/>
          <w:szCs w:val="26"/>
          <w:lang w:val="sr-Latn-ME"/>
        </w:rPr>
        <w:t>M.G.</w:t>
      </w:r>
      <w:r w:rsidRPr="00D833AB">
        <w:rPr>
          <w:rFonts w:ascii="Arial Narrow" w:hAnsi="Arial Narrow"/>
          <w:sz w:val="26"/>
          <w:szCs w:val="26"/>
          <w:lang w:val="sr-Latn-ME"/>
        </w:rPr>
        <w:t xml:space="preserve"> upućen podnositeljki ustavne žalbe, u kojem joj </w:t>
      </w:r>
      <w:r>
        <w:rPr>
          <w:rFonts w:ascii="Arial Narrow" w:hAnsi="Arial Narrow"/>
          <w:sz w:val="26"/>
          <w:szCs w:val="26"/>
          <w:lang w:val="sr-Latn-ME"/>
        </w:rPr>
        <w:t>M.G.</w:t>
      </w:r>
      <w:r w:rsidRPr="00D833AB">
        <w:rPr>
          <w:rFonts w:ascii="Arial Narrow" w:hAnsi="Arial Narrow"/>
          <w:sz w:val="26"/>
          <w:szCs w:val="26"/>
          <w:lang w:val="sr-Latn-ME"/>
        </w:rPr>
        <w:t xml:space="preserve"> saopštava da smatra da je izložena neprijatnostima, zbog bliske saradnje sa podnositeljkom, navodeći da su neprijatnostima od strane Ane Šćepanović bili izloženi zaposleni koji su sa podnositeljkom blisko sarađivali; da je sud odbio da provede i ocijenio irelevantnim sve dokaze kojima se potvrđuju tvrdnje o neprijatnostima drugih saradnika podnositeljke, učinjenim od strane tuženih (e- mailovi od 18. decembra 2017. godine i 26. januara 2018. godine, upućeni od strane zaposlene S</w:t>
      </w:r>
      <w:r>
        <w:rPr>
          <w:rFonts w:ascii="Arial Narrow" w:hAnsi="Arial Narrow"/>
          <w:sz w:val="26"/>
          <w:szCs w:val="26"/>
          <w:lang w:val="sr-Latn-ME"/>
        </w:rPr>
        <w:t>.</w:t>
      </w:r>
      <w:r w:rsidRPr="00D833AB">
        <w:rPr>
          <w:rFonts w:ascii="Arial Narrow" w:hAnsi="Arial Narrow"/>
          <w:sz w:val="26"/>
          <w:szCs w:val="26"/>
          <w:lang w:val="sr-Latn-ME"/>
        </w:rPr>
        <w:t xml:space="preserve"> Đ</w:t>
      </w:r>
      <w:r>
        <w:rPr>
          <w:rFonts w:ascii="Arial Narrow" w:hAnsi="Arial Narrow"/>
          <w:sz w:val="26"/>
          <w:szCs w:val="26"/>
          <w:lang w:val="sr-Latn-ME"/>
        </w:rPr>
        <w:t>.</w:t>
      </w:r>
      <w:r w:rsidRPr="00D833AB">
        <w:rPr>
          <w:rFonts w:ascii="Arial Narrow" w:hAnsi="Arial Narrow"/>
          <w:sz w:val="26"/>
          <w:szCs w:val="26"/>
          <w:lang w:val="sr-Latn-ME"/>
        </w:rPr>
        <w:t xml:space="preserve">, dopis </w:t>
      </w:r>
      <w:r>
        <w:rPr>
          <w:rFonts w:ascii="Arial Narrow" w:hAnsi="Arial Narrow"/>
          <w:sz w:val="26"/>
          <w:szCs w:val="26"/>
          <w:lang w:val="sr-Latn-ME"/>
        </w:rPr>
        <w:t>M.G.</w:t>
      </w:r>
      <w:r w:rsidRPr="00D833AB">
        <w:rPr>
          <w:rFonts w:ascii="Arial Narrow" w:hAnsi="Arial Narrow"/>
          <w:sz w:val="26"/>
          <w:szCs w:val="26"/>
          <w:lang w:val="sr-Latn-ME"/>
        </w:rPr>
        <w:t>, e-mailovi D</w:t>
      </w:r>
      <w:r>
        <w:rPr>
          <w:rFonts w:ascii="Arial Narrow" w:hAnsi="Arial Narrow"/>
          <w:sz w:val="26"/>
          <w:szCs w:val="26"/>
          <w:lang w:val="sr-Latn-ME"/>
        </w:rPr>
        <w:t>.</w:t>
      </w:r>
      <w:r w:rsidRPr="00D833AB">
        <w:rPr>
          <w:rFonts w:ascii="Arial Narrow" w:hAnsi="Arial Narrow"/>
          <w:sz w:val="26"/>
          <w:szCs w:val="26"/>
          <w:lang w:val="sr-Latn-ME"/>
        </w:rPr>
        <w:t xml:space="preserve"> B</w:t>
      </w:r>
      <w:r>
        <w:rPr>
          <w:rFonts w:ascii="Arial Narrow" w:hAnsi="Arial Narrow"/>
          <w:sz w:val="26"/>
          <w:szCs w:val="26"/>
          <w:lang w:val="sr-Latn-ME"/>
        </w:rPr>
        <w:t>.</w:t>
      </w:r>
      <w:r w:rsidRPr="00D833AB">
        <w:rPr>
          <w:rFonts w:ascii="Arial Narrow" w:hAnsi="Arial Narrow"/>
          <w:sz w:val="26"/>
          <w:szCs w:val="26"/>
          <w:lang w:val="sr-Latn-ME"/>
        </w:rPr>
        <w:t xml:space="preserve"> i M</w:t>
      </w:r>
      <w:r>
        <w:rPr>
          <w:rFonts w:ascii="Arial Narrow" w:hAnsi="Arial Narrow"/>
          <w:sz w:val="26"/>
          <w:szCs w:val="26"/>
          <w:lang w:val="sr-Latn-ME"/>
        </w:rPr>
        <w:t>.</w:t>
      </w:r>
      <w:r w:rsidRPr="00D833AB">
        <w:rPr>
          <w:rFonts w:ascii="Arial Narrow" w:hAnsi="Arial Narrow"/>
          <w:sz w:val="26"/>
          <w:szCs w:val="26"/>
          <w:lang w:val="sr-Latn-ME"/>
        </w:rPr>
        <w:t xml:space="preserve"> K</w:t>
      </w:r>
      <w:r>
        <w:rPr>
          <w:rFonts w:ascii="Arial Narrow" w:hAnsi="Arial Narrow"/>
          <w:sz w:val="26"/>
          <w:szCs w:val="26"/>
          <w:lang w:val="sr-Latn-ME"/>
        </w:rPr>
        <w:t>.</w:t>
      </w:r>
      <w:r w:rsidRPr="00D833AB">
        <w:rPr>
          <w:rFonts w:ascii="Arial Narrow" w:hAnsi="Arial Narrow"/>
          <w:sz w:val="26"/>
          <w:szCs w:val="26"/>
          <w:lang w:val="sr-Latn-ME"/>
        </w:rPr>
        <w:t xml:space="preserve"> od 1. novembra 2017. godine i e-mail Boža Cvetkovića od 30. oktobra 2017. godine); da je rukovoditeljka Sektora za ljudske resurse </w:t>
      </w:r>
      <w:r>
        <w:rPr>
          <w:rFonts w:ascii="Arial Narrow" w:hAnsi="Arial Narrow"/>
          <w:sz w:val="26"/>
          <w:szCs w:val="26"/>
          <w:lang w:val="sr-Latn-ME"/>
        </w:rPr>
        <w:t>A.Š.</w:t>
      </w:r>
      <w:r w:rsidRPr="00D833AB">
        <w:rPr>
          <w:rFonts w:ascii="Arial Narrow" w:hAnsi="Arial Narrow"/>
          <w:sz w:val="26"/>
          <w:szCs w:val="26"/>
          <w:lang w:val="sr-Latn-ME"/>
        </w:rPr>
        <w:t xml:space="preserve">, agresivno i nasilnički upala u radni prostor podnositeljke, i glasno i grubo je vrijeđala, u prisustvu drugih, uz brojne prijetnje i obraćajući joj se riječima: „ološ,“ „gad“, „budala“, „ti ništa ne znaš“, „“ne zaslužuješ da budeš ovdje“...; da  je o navedenom detaljno posvjedočila saradnica podnositeljke </w:t>
      </w:r>
      <w:r>
        <w:rPr>
          <w:rFonts w:ascii="Arial Narrow" w:hAnsi="Arial Narrow"/>
          <w:sz w:val="26"/>
          <w:szCs w:val="26"/>
          <w:lang w:val="sr-Latn-ME"/>
        </w:rPr>
        <w:t>M.G.</w:t>
      </w:r>
      <w:r w:rsidRPr="00D833AB">
        <w:rPr>
          <w:rFonts w:ascii="Arial Narrow" w:hAnsi="Arial Narrow"/>
          <w:sz w:val="26"/>
          <w:szCs w:val="26"/>
          <w:lang w:val="sr-Latn-ME"/>
        </w:rPr>
        <w:t>, u disciplinskom postupku pokrenutom protiv A</w:t>
      </w:r>
      <w:r>
        <w:rPr>
          <w:rFonts w:ascii="Arial Narrow" w:hAnsi="Arial Narrow"/>
          <w:sz w:val="26"/>
          <w:szCs w:val="26"/>
          <w:lang w:val="sr-Latn-ME"/>
        </w:rPr>
        <w:t>.</w:t>
      </w:r>
      <w:r w:rsidRPr="00D833AB">
        <w:rPr>
          <w:rFonts w:ascii="Arial Narrow" w:hAnsi="Arial Narrow"/>
          <w:sz w:val="26"/>
          <w:szCs w:val="26"/>
          <w:lang w:val="sr-Latn-ME"/>
        </w:rPr>
        <w:t xml:space="preserve"> Š</w:t>
      </w:r>
      <w:r>
        <w:rPr>
          <w:rFonts w:ascii="Arial Narrow" w:hAnsi="Arial Narrow"/>
          <w:sz w:val="26"/>
          <w:szCs w:val="26"/>
          <w:lang w:val="sr-Latn-ME"/>
        </w:rPr>
        <w:t>.</w:t>
      </w:r>
      <w:r w:rsidRPr="00D833AB">
        <w:rPr>
          <w:rFonts w:ascii="Arial Narrow" w:hAnsi="Arial Narrow"/>
          <w:sz w:val="26"/>
          <w:szCs w:val="26"/>
          <w:lang w:val="sr-Latn-ME"/>
        </w:rPr>
        <w:t>, koja je, iako je priznala sve što joj se stavlja na teret, od strane Komisije formirane od strane mobera, oslobođena od odgovornosti za težu povredu radne obaveze i nasilničko ponašanje; da je vještak neuropsihijatrijske struke S</w:t>
      </w:r>
      <w:r>
        <w:rPr>
          <w:rFonts w:ascii="Arial Narrow" w:hAnsi="Arial Narrow"/>
          <w:sz w:val="26"/>
          <w:szCs w:val="26"/>
          <w:lang w:val="sr-Latn-ME"/>
        </w:rPr>
        <w:t>.</w:t>
      </w:r>
      <w:r w:rsidRPr="00D833AB">
        <w:rPr>
          <w:rFonts w:ascii="Arial Narrow" w:hAnsi="Arial Narrow"/>
          <w:sz w:val="26"/>
          <w:szCs w:val="26"/>
          <w:lang w:val="sr-Latn-ME"/>
        </w:rPr>
        <w:t xml:space="preserve"> M</w:t>
      </w:r>
      <w:r>
        <w:rPr>
          <w:rFonts w:ascii="Arial Narrow" w:hAnsi="Arial Narrow"/>
          <w:sz w:val="26"/>
          <w:szCs w:val="26"/>
          <w:lang w:val="sr-Latn-ME"/>
        </w:rPr>
        <w:t>.</w:t>
      </w:r>
      <w:r w:rsidRPr="00D833AB">
        <w:rPr>
          <w:rFonts w:ascii="Arial Narrow" w:hAnsi="Arial Narrow"/>
          <w:sz w:val="26"/>
          <w:szCs w:val="26"/>
          <w:lang w:val="sr-Latn-ME"/>
        </w:rPr>
        <w:t xml:space="preserve"> u svom nalazu potvrdio postojanje duševnih bolova snažnog inteziteta podnositeljke u periodu devetomjesečnog mobinga; da o zlostavljačkim porivima mobera posebno govori činjenica da je mober inicijativu Skupštini za smjenu podnositeljke sa mjesta viceguvernerke podnio  tokom 14 dana bolničkog liječenja podnositeljke u Beču, zbog čega je podnositeljka, u uslovima ozbiljno narušenog zdravlja, bila izložena dodatnim pritiscima i poniženjima, emotivnom stresu usljed javnog urušavanja ličnog i profesionalnog integriteta pred cjelokupnom crnogorskom javnošću, medijskog linča, višednevne javne kampanje guvernera, te neistina saopštenih na javnom zasijedanju Skupštine Crne Gore, koje je prenosio javni servis RTCG, prilikom usmenog obrazlaganja njenog razrešenja od strane mobera; da je podnositeljka iz medija, dok je bila  u bolničkoj postelji, saznala i za krivičnu prijavu koju su tuženi protiv nje podnijeli prije njenog odlaska u Beč; da su upućivanju inicijative za razrješenje podnositeljke prethodile njene molbe i formalni zahtjevi upućeni članovima Savjeta Centralne banke, da joj se dozvoli, da po okončanju bolničkog liječenja i povratka u zemlju, učestvuje u procesu razrješenja, i dobije priliku da ospori neistinite navode mobera; da se podnositeljka, povodom kršenja Zakona o zabrani zlostavljanja na radu, od strane mobera, obraćala Inspekciji rada, čija su sporna rješenja poništena od strane Ministarstva rada i socijalnog staranja tek nakon razrješenja podnositeljke; da je sudija prvostepenog suda postupao neprofesionalno i pristrasno, a da je cjelokupan postupak trajao nesrazmjerno dugo (punih pet godina); da je pismo o navodnom nemoralu podnositeljke kao žene, iz njene prošlosti, kružilo Centralnom bankom i široko distribuirano od strane mobera, a za koje je podnositeljka saznala od viceguvernera N</w:t>
      </w:r>
      <w:r>
        <w:rPr>
          <w:rFonts w:ascii="Arial Narrow" w:hAnsi="Arial Narrow"/>
          <w:sz w:val="26"/>
          <w:szCs w:val="26"/>
          <w:lang w:val="sr-Latn-ME"/>
        </w:rPr>
        <w:t>.</w:t>
      </w:r>
      <w:r w:rsidRPr="00D833AB">
        <w:rPr>
          <w:rFonts w:ascii="Arial Narrow" w:hAnsi="Arial Narrow"/>
          <w:sz w:val="26"/>
          <w:szCs w:val="26"/>
          <w:lang w:val="sr-Latn-ME"/>
        </w:rPr>
        <w:t xml:space="preserve"> F</w:t>
      </w:r>
      <w:r>
        <w:rPr>
          <w:rFonts w:ascii="Arial Narrow" w:hAnsi="Arial Narrow"/>
          <w:sz w:val="26"/>
          <w:szCs w:val="26"/>
          <w:lang w:val="sr-Latn-ME"/>
        </w:rPr>
        <w:t>.</w:t>
      </w:r>
      <w:r w:rsidRPr="00D833AB">
        <w:rPr>
          <w:rFonts w:ascii="Arial Narrow" w:hAnsi="Arial Narrow"/>
          <w:sz w:val="26"/>
          <w:szCs w:val="26"/>
          <w:lang w:val="sr-Latn-ME"/>
        </w:rPr>
        <w:t xml:space="preserve"> i izvršnog direktora L</w:t>
      </w:r>
      <w:r>
        <w:rPr>
          <w:rFonts w:ascii="Arial Narrow" w:hAnsi="Arial Narrow"/>
          <w:sz w:val="26"/>
          <w:szCs w:val="26"/>
          <w:lang w:val="sr-Latn-ME"/>
        </w:rPr>
        <w:t>.</w:t>
      </w:r>
      <w:r w:rsidRPr="00D833AB">
        <w:rPr>
          <w:rFonts w:ascii="Arial Narrow" w:hAnsi="Arial Narrow"/>
          <w:sz w:val="26"/>
          <w:szCs w:val="26"/>
          <w:lang w:val="sr-Latn-ME"/>
        </w:rPr>
        <w:t xml:space="preserve">; da je navedeno pismo, od strane tuženih, dostavljeno u sudskom postupku, kao dokaz, a u prilog navodima o neprofesionalnom odnosu podnositeljke prema radnom mjestu i organu u kojem je zaspolena, a koje ponašanje joj nije bilo strano u organu u kojem je prethodno bila zaposlena; da zaključak sudova da tuženi nijesu distribuirali pismo sa ciljem zlostavljanja </w:t>
      </w:r>
      <w:r w:rsidRPr="00D833AB">
        <w:rPr>
          <w:rFonts w:ascii="Arial Narrow" w:hAnsi="Arial Narrow"/>
          <w:sz w:val="26"/>
          <w:szCs w:val="26"/>
          <w:lang w:val="sr-Latn-ME"/>
        </w:rPr>
        <w:lastRenderedPageBreak/>
        <w:t>podnositeljke, ostaje nejasan, prije svega jer su ga dostavili u postupku kao dokaz, a nije ni dat odgovor na pitanje kako se taj dokument nalazi u posjedu tuženih, ako im namjera nije bila usmjerena na ličnu i profesionalnu diskreditaciju podnositeljke. Podnositeljka je, u konačnom, predložila, da se ustavna žalba usvoji, ukine osporena presuda i predmet vrani na ponovni postupak i odlučivanje.</w:t>
      </w:r>
    </w:p>
    <w:p w:rsidR="00D833AB" w:rsidRPr="00D833AB" w:rsidRDefault="00D833AB" w:rsidP="00D833AB">
      <w:pPr>
        <w:tabs>
          <w:tab w:val="left" w:pos="0"/>
        </w:tabs>
        <w:spacing w:after="0" w:line="240" w:lineRule="auto"/>
        <w:ind w:firstLine="720"/>
        <w:jc w:val="both"/>
        <w:rPr>
          <w:rFonts w:ascii="Arial Narrow" w:hAnsi="Arial Narrow"/>
          <w:sz w:val="26"/>
          <w:szCs w:val="26"/>
          <w:lang w:val="sr-Latn-ME"/>
        </w:rPr>
      </w:pPr>
    </w:p>
    <w:p w:rsidR="00D833AB" w:rsidRPr="00D833AB" w:rsidRDefault="00D833AB" w:rsidP="00D833AB">
      <w:pPr>
        <w:spacing w:after="0" w:line="240" w:lineRule="auto"/>
        <w:ind w:right="-524" w:firstLine="720"/>
        <w:jc w:val="both"/>
        <w:rPr>
          <w:rFonts w:ascii="Arial Narrow" w:eastAsia="Times New Roman" w:hAnsi="Arial Narrow" w:cs="Arial"/>
          <w:b/>
          <w:sz w:val="26"/>
          <w:szCs w:val="26"/>
          <w:lang w:val="sr-Latn-ME"/>
        </w:rPr>
      </w:pPr>
      <w:r w:rsidRPr="00D833AB">
        <w:rPr>
          <w:rFonts w:ascii="Arial Narrow" w:eastAsia="Times New Roman" w:hAnsi="Arial Narrow" w:cs="Arial"/>
          <w:b/>
          <w:sz w:val="26"/>
          <w:szCs w:val="26"/>
          <w:lang w:val="sr-Latn-ME"/>
        </w:rPr>
        <w:t>II ČINJENICE I OKOLNOSTI PREDMETA</w:t>
      </w:r>
    </w:p>
    <w:p w:rsidR="00D833AB" w:rsidRPr="00D833AB" w:rsidRDefault="00D833AB" w:rsidP="00D833AB">
      <w:pPr>
        <w:spacing w:after="0" w:line="240" w:lineRule="auto"/>
        <w:ind w:firstLine="568"/>
        <w:jc w:val="both"/>
        <w:rPr>
          <w:rFonts w:ascii="Arial Narrow" w:eastAsia="Times New Roman" w:hAnsi="Arial Narrow" w:cs="Arial"/>
          <w:b/>
          <w:sz w:val="26"/>
          <w:szCs w:val="26"/>
          <w:lang w:val="sr-Latn-ME"/>
        </w:rPr>
      </w:pPr>
    </w:p>
    <w:p w:rsidR="00D833AB" w:rsidRPr="00D833AB" w:rsidRDefault="00D833AB" w:rsidP="00D833AB">
      <w:pPr>
        <w:spacing w:after="0" w:line="240" w:lineRule="auto"/>
        <w:jc w:val="both"/>
        <w:rPr>
          <w:rFonts w:ascii="Arial Narrow" w:eastAsia="Calibri" w:hAnsi="Arial Narrow" w:cs="Calibri"/>
          <w:sz w:val="26"/>
          <w:szCs w:val="26"/>
          <w:lang w:val="sr-Latn-ME"/>
        </w:rPr>
      </w:pPr>
      <w:r w:rsidRPr="00D833AB">
        <w:rPr>
          <w:rFonts w:ascii="Arial Narrow" w:eastAsia="Calibri" w:hAnsi="Arial Narrow" w:cs="Calibri"/>
          <w:sz w:val="26"/>
          <w:szCs w:val="26"/>
          <w:lang w:val="sr-Latn-ME"/>
        </w:rPr>
        <w:tab/>
      </w:r>
      <w:r w:rsidRPr="00D833AB">
        <w:rPr>
          <w:rFonts w:ascii="Arial Narrow" w:eastAsia="Calibri" w:hAnsi="Arial Narrow" w:cs="Calibri"/>
          <w:b/>
          <w:sz w:val="26"/>
          <w:szCs w:val="26"/>
          <w:lang w:val="sr-Latn-ME"/>
        </w:rPr>
        <w:t>3.</w:t>
      </w:r>
      <w:r w:rsidRPr="00D833AB">
        <w:rPr>
          <w:rFonts w:ascii="Arial Narrow" w:eastAsia="Calibri" w:hAnsi="Arial Narrow" w:cs="Calibri"/>
          <w:sz w:val="26"/>
          <w:szCs w:val="26"/>
          <w:lang w:val="sr-Latn-ME"/>
        </w:rPr>
        <w:t xml:space="preserve"> Uvidom u osporenu presudu i dostavljenu dokumentaciju, Ustavni sud je utvrdio sljedeće činjenice i okolnosti od značaja za odlučivanje u ovoj ustavnosudskoj stvari.</w:t>
      </w:r>
    </w:p>
    <w:p w:rsidR="00D833AB" w:rsidRPr="00D833AB" w:rsidRDefault="00D833AB" w:rsidP="00D833AB">
      <w:pPr>
        <w:spacing w:after="0" w:line="240" w:lineRule="auto"/>
        <w:jc w:val="both"/>
        <w:rPr>
          <w:rFonts w:ascii="Arial Narrow" w:eastAsia="Calibri" w:hAnsi="Arial Narrow" w:cs="Calibri"/>
          <w:sz w:val="26"/>
          <w:szCs w:val="26"/>
          <w:lang w:val="sr-Latn-ME"/>
        </w:rPr>
      </w:pPr>
    </w:p>
    <w:p w:rsidR="00D833AB" w:rsidRPr="00D833AB" w:rsidRDefault="00D833AB" w:rsidP="00D833AB">
      <w:pPr>
        <w:spacing w:after="0" w:line="240" w:lineRule="auto"/>
        <w:ind w:firstLine="720"/>
        <w:jc w:val="both"/>
        <w:rPr>
          <w:rFonts w:ascii="Arial Narrow" w:eastAsia="Times New Roman" w:hAnsi="Arial Narrow" w:cs="Arial"/>
          <w:b/>
          <w:sz w:val="26"/>
          <w:szCs w:val="26"/>
          <w:lang w:val="sr-Latn-ME"/>
        </w:rPr>
      </w:pPr>
      <w:r w:rsidRPr="00D833AB">
        <w:rPr>
          <w:rFonts w:ascii="Arial Narrow" w:eastAsia="Times New Roman" w:hAnsi="Arial Narrow"/>
          <w:b/>
          <w:sz w:val="26"/>
          <w:szCs w:val="26"/>
          <w:lang w:val="sr-Latn-ME"/>
        </w:rPr>
        <w:t>Građanski postupak koji je prethodio ustavnosudskom</w:t>
      </w:r>
    </w:p>
    <w:p w:rsidR="00D833AB" w:rsidRPr="00D833AB" w:rsidRDefault="00D833AB" w:rsidP="00D833AB">
      <w:pPr>
        <w:spacing w:after="0" w:line="240" w:lineRule="auto"/>
        <w:jc w:val="both"/>
        <w:rPr>
          <w:rFonts w:ascii="Arial Narrow" w:eastAsia="Calibri" w:hAnsi="Arial Narrow" w:cs="Calibri"/>
          <w:sz w:val="26"/>
          <w:szCs w:val="26"/>
          <w:lang w:val="sr-Latn-ME"/>
        </w:rPr>
      </w:pPr>
    </w:p>
    <w:p w:rsidR="00D833AB" w:rsidRPr="00D833AB" w:rsidRDefault="00D833AB" w:rsidP="00D833AB">
      <w:pPr>
        <w:spacing w:after="0" w:line="240" w:lineRule="auto"/>
        <w:ind w:firstLine="720"/>
        <w:jc w:val="both"/>
        <w:rPr>
          <w:rFonts w:ascii="Arial Narrow" w:eastAsia="Calibri" w:hAnsi="Arial Narrow" w:cs="Times New Roman"/>
          <w:sz w:val="26"/>
          <w:szCs w:val="26"/>
          <w:lang w:val="sr-Latn-ME"/>
        </w:rPr>
      </w:pPr>
      <w:r w:rsidRPr="00D833AB">
        <w:rPr>
          <w:rFonts w:ascii="Arial Narrow" w:eastAsia="Calibri" w:hAnsi="Arial Narrow" w:cs="Calibri"/>
          <w:b/>
          <w:sz w:val="26"/>
          <w:szCs w:val="26"/>
          <w:lang w:val="sr-Latn-ME"/>
        </w:rPr>
        <w:t>4</w:t>
      </w:r>
      <w:r w:rsidRPr="00D833AB">
        <w:rPr>
          <w:rFonts w:ascii="Arial Narrow" w:eastAsia="Calibri" w:hAnsi="Arial Narrow" w:cs="Calibri"/>
          <w:sz w:val="26"/>
          <w:szCs w:val="26"/>
          <w:lang w:val="sr-Latn-ME"/>
        </w:rPr>
        <w:t xml:space="preserve">. </w:t>
      </w:r>
      <w:r w:rsidRPr="00D833AB">
        <w:rPr>
          <w:rFonts w:ascii="Arial Narrow" w:eastAsia="Calibri" w:hAnsi="Arial Narrow" w:cs="Times New Roman"/>
          <w:sz w:val="26"/>
          <w:szCs w:val="26"/>
          <w:lang w:val="sr-Latn-ME"/>
        </w:rPr>
        <w:t>Podnositeljka ustavne žalbe je ugovorom o radu od 18. oktobra 2016. godine, zasnovala radni odnos kod prvotužene (Centralna banka Crne Gore ), na radnom mjestu savjetnika guvernera za kontrolu bankarskog sistema, u Kabinetu guvernera. Odlukom Skupštine Crne Gore od 6. marta 2017. godine podnositeljka je imenovana za viceguvernerku Centralne banke Crne Gore, za kontrolu bankarskog sistema. Odlukom Skupštine Crne Gore od  5. jula 2018. godine, podnositeljka je razriješena sa pozicije viceguvernerke Centralne banke Crne Gore.</w:t>
      </w:r>
    </w:p>
    <w:p w:rsidR="00D833AB" w:rsidRPr="00D833AB" w:rsidRDefault="00D833AB" w:rsidP="00D833AB">
      <w:pPr>
        <w:spacing w:after="0" w:line="240" w:lineRule="auto"/>
        <w:jc w:val="both"/>
        <w:rPr>
          <w:rFonts w:ascii="Arial Narrow" w:hAnsi="Arial Narrow" w:cs="Times New Roman"/>
          <w:sz w:val="26"/>
          <w:szCs w:val="26"/>
          <w:lang w:val="sr-Latn-ME"/>
        </w:rPr>
      </w:pPr>
    </w:p>
    <w:p w:rsidR="00D833AB" w:rsidRPr="00D833AB" w:rsidRDefault="00D833AB" w:rsidP="00D833AB">
      <w:pPr>
        <w:spacing w:after="0" w:line="240" w:lineRule="auto"/>
        <w:jc w:val="both"/>
        <w:rPr>
          <w:rFonts w:ascii="Arial Narrow" w:hAnsi="Arial Narrow" w:cs="Times New Roman"/>
          <w:sz w:val="26"/>
          <w:szCs w:val="26"/>
          <w:lang w:val="sr-Latn-ME"/>
        </w:rPr>
      </w:pPr>
      <w:r w:rsidRPr="00D833AB">
        <w:rPr>
          <w:rFonts w:ascii="Arial Narrow" w:hAnsi="Arial Narrow" w:cs="Times New Roman"/>
          <w:b/>
          <w:sz w:val="26"/>
          <w:szCs w:val="26"/>
          <w:lang w:val="sr-Latn-ME"/>
        </w:rPr>
        <w:tab/>
        <w:t>5.</w:t>
      </w:r>
      <w:r w:rsidRPr="00D833AB">
        <w:rPr>
          <w:rFonts w:ascii="Arial Narrow" w:hAnsi="Arial Narrow" w:cs="Times New Roman"/>
          <w:sz w:val="26"/>
          <w:szCs w:val="26"/>
          <w:lang w:val="sr-Latn-ME"/>
        </w:rPr>
        <w:t xml:space="preserve"> Dana 8. marta 2018. godine, podnositeljka je drugotuženom, putem e-maila, uputila “formalni zahtjev za pokretanje postupka za zaštitu od mobinga”, dok je određenom posredniku M</w:t>
      </w:r>
      <w:r>
        <w:rPr>
          <w:rFonts w:ascii="Arial Narrow" w:hAnsi="Arial Narrow" w:cs="Times New Roman"/>
          <w:sz w:val="26"/>
          <w:szCs w:val="26"/>
          <w:lang w:val="sr-Latn-ME"/>
        </w:rPr>
        <w:t>.</w:t>
      </w:r>
      <w:r w:rsidRPr="00D833AB">
        <w:rPr>
          <w:rFonts w:ascii="Arial Narrow" w:hAnsi="Arial Narrow" w:cs="Times New Roman"/>
          <w:sz w:val="26"/>
          <w:szCs w:val="26"/>
          <w:lang w:val="sr-Latn-ME"/>
        </w:rPr>
        <w:t xml:space="preserve"> Š</w:t>
      </w:r>
      <w:r>
        <w:rPr>
          <w:rFonts w:ascii="Arial Narrow" w:hAnsi="Arial Narrow" w:cs="Times New Roman"/>
          <w:sz w:val="26"/>
          <w:szCs w:val="26"/>
          <w:lang w:val="sr-Latn-ME"/>
        </w:rPr>
        <w:t>.</w:t>
      </w:r>
      <w:r w:rsidRPr="00D833AB">
        <w:rPr>
          <w:rFonts w:ascii="Arial Narrow" w:hAnsi="Arial Narrow" w:cs="Times New Roman"/>
          <w:sz w:val="26"/>
          <w:szCs w:val="26"/>
          <w:lang w:val="sr-Latn-ME"/>
        </w:rPr>
        <w:t>, podnositeljka dostavila navedeni zahtjev dana 13. marta 2018. godine. Nakon toga je pokrenut postupak posredovanja, koji nije uspio.</w:t>
      </w:r>
    </w:p>
    <w:p w:rsidR="00D833AB" w:rsidRPr="00D833AB" w:rsidRDefault="00D833AB" w:rsidP="00D833AB">
      <w:pPr>
        <w:spacing w:after="0" w:line="240" w:lineRule="auto"/>
        <w:ind w:right="-360"/>
        <w:jc w:val="both"/>
        <w:rPr>
          <w:rFonts w:ascii="Arial Narrow" w:eastAsia="Calibri" w:hAnsi="Arial Narrow" w:cs="Times New Roman"/>
          <w:sz w:val="26"/>
          <w:szCs w:val="26"/>
          <w:lang w:val="sr-Latn-ME"/>
        </w:rPr>
      </w:pPr>
    </w:p>
    <w:p w:rsidR="00D833AB" w:rsidRPr="00D833AB" w:rsidRDefault="00D833AB" w:rsidP="00D833AB">
      <w:pPr>
        <w:spacing w:after="0" w:line="240" w:lineRule="auto"/>
        <w:jc w:val="both"/>
        <w:rPr>
          <w:rFonts w:ascii="Arial Narrow" w:eastAsia="Calibri" w:hAnsi="Arial Narrow" w:cs="Times New Roman"/>
          <w:sz w:val="26"/>
          <w:szCs w:val="26"/>
          <w:lang w:val="sr-Latn-ME"/>
        </w:rPr>
      </w:pPr>
      <w:r w:rsidRPr="00D833AB">
        <w:rPr>
          <w:rFonts w:ascii="Arial Narrow" w:eastAsia="Calibri" w:hAnsi="Arial Narrow" w:cs="Times New Roman"/>
          <w:sz w:val="26"/>
          <w:szCs w:val="26"/>
          <w:lang w:val="sr-Latn-ME"/>
        </w:rPr>
        <w:tab/>
      </w:r>
      <w:r w:rsidRPr="00D833AB">
        <w:rPr>
          <w:rFonts w:ascii="Arial Narrow" w:eastAsia="Calibri" w:hAnsi="Arial Narrow" w:cs="Times New Roman"/>
          <w:b/>
          <w:sz w:val="26"/>
          <w:szCs w:val="26"/>
          <w:lang w:val="sr-Latn-ME"/>
        </w:rPr>
        <w:t>6.</w:t>
      </w:r>
      <w:r w:rsidRPr="00D833AB">
        <w:rPr>
          <w:rFonts w:ascii="Arial Narrow" w:eastAsia="Calibri" w:hAnsi="Arial Narrow" w:cs="Times New Roman"/>
          <w:sz w:val="26"/>
          <w:szCs w:val="26"/>
          <w:lang w:val="sr-Latn-ME"/>
        </w:rPr>
        <w:t xml:space="preserve"> Dana 30. aprila 2018. godine, podnositeljka ustavne žalbe pokrenula je postupak pred Osnovnim sudom u Podgorici, tužbom radi utvrđenja mobinga i diskriminatorskog ponašanja i naknade nematerijalne štete. Podnositeljka je tužila Centralnu banku Crne Gore (prvotužena) i R</w:t>
      </w:r>
      <w:r>
        <w:rPr>
          <w:rFonts w:ascii="Arial Narrow" w:eastAsia="Calibri" w:hAnsi="Arial Narrow" w:cs="Times New Roman"/>
          <w:sz w:val="26"/>
          <w:szCs w:val="26"/>
          <w:lang w:val="sr-Latn-ME"/>
        </w:rPr>
        <w:t>.</w:t>
      </w:r>
      <w:r w:rsidRPr="00D833AB">
        <w:rPr>
          <w:rFonts w:ascii="Arial Narrow" w:eastAsia="Calibri" w:hAnsi="Arial Narrow" w:cs="Times New Roman"/>
          <w:sz w:val="26"/>
          <w:szCs w:val="26"/>
          <w:lang w:val="sr-Latn-ME"/>
        </w:rPr>
        <w:t xml:space="preserve"> Ž</w:t>
      </w:r>
      <w:r>
        <w:rPr>
          <w:rFonts w:ascii="Arial Narrow" w:eastAsia="Calibri" w:hAnsi="Arial Narrow" w:cs="Times New Roman"/>
          <w:sz w:val="26"/>
          <w:szCs w:val="26"/>
          <w:lang w:val="sr-Latn-ME"/>
        </w:rPr>
        <w:t>.</w:t>
      </w:r>
      <w:r w:rsidRPr="00D833AB">
        <w:rPr>
          <w:rFonts w:ascii="Arial Narrow" w:eastAsia="Calibri" w:hAnsi="Arial Narrow" w:cs="Times New Roman"/>
          <w:sz w:val="26"/>
          <w:szCs w:val="26"/>
          <w:lang w:val="sr-Latn-ME"/>
        </w:rPr>
        <w:t>, tadašnjeg guvernera Centralne banke Crne Gore (drugotuženi).</w:t>
      </w:r>
    </w:p>
    <w:p w:rsidR="00D833AB" w:rsidRPr="00D833AB" w:rsidRDefault="00D833AB" w:rsidP="00D833AB">
      <w:pPr>
        <w:spacing w:after="0" w:line="240" w:lineRule="auto"/>
        <w:jc w:val="both"/>
        <w:rPr>
          <w:rFonts w:ascii="Arial Narrow" w:hAnsi="Arial Narrow"/>
          <w:b/>
          <w:sz w:val="26"/>
          <w:szCs w:val="26"/>
          <w:lang w:val="sr-Latn-ME"/>
        </w:rPr>
      </w:pPr>
    </w:p>
    <w:p w:rsidR="00D833AB" w:rsidRPr="00D833AB" w:rsidRDefault="00D833AB" w:rsidP="00D833AB">
      <w:pPr>
        <w:spacing w:after="0" w:line="240" w:lineRule="auto"/>
        <w:ind w:left="90"/>
        <w:contextualSpacing/>
        <w:jc w:val="both"/>
        <w:rPr>
          <w:rFonts w:ascii="Arial Narrow" w:eastAsia="Calibri" w:hAnsi="Arial Narrow" w:cs="Calibri"/>
          <w:sz w:val="26"/>
          <w:szCs w:val="26"/>
          <w:lang w:val="sr-Latn-ME"/>
        </w:rPr>
      </w:pPr>
      <w:r w:rsidRPr="00D833AB">
        <w:rPr>
          <w:rFonts w:ascii="Arial Narrow" w:hAnsi="Arial Narrow"/>
          <w:b/>
          <w:sz w:val="26"/>
          <w:szCs w:val="26"/>
          <w:lang w:val="sr-Latn-ME"/>
        </w:rPr>
        <w:tab/>
        <w:t xml:space="preserve">7. </w:t>
      </w:r>
      <w:r w:rsidRPr="00D833AB">
        <w:rPr>
          <w:rFonts w:ascii="Arial Narrow" w:eastAsia="Calibri" w:hAnsi="Arial Narrow" w:cs="Calibri"/>
          <w:sz w:val="26"/>
          <w:szCs w:val="26"/>
          <w:lang w:val="sr-Latn-ME"/>
        </w:rPr>
        <w:t>Osnovni sud u Podgorici je presudom P. br. 2422/18, od 4. avgusta 2020. godine, odbio tužbeni zahtjev, kao neosnovan. Presudom Višeg suda u Podgorici Gž. br. 5030/20, od 23. septembra 2021. godine, odbijena je žalba tužilje, kao neosnovana i potvrđena prvostepena presuda u stavu prvom i drugom.</w:t>
      </w:r>
    </w:p>
    <w:p w:rsidR="00D833AB" w:rsidRPr="00D833AB" w:rsidRDefault="00D833AB" w:rsidP="00D833AB">
      <w:pPr>
        <w:spacing w:after="0" w:line="240" w:lineRule="auto"/>
        <w:ind w:left="90"/>
        <w:contextualSpacing/>
        <w:jc w:val="both"/>
        <w:rPr>
          <w:rFonts w:ascii="Arial Narrow" w:eastAsia="Calibri" w:hAnsi="Arial Narrow" w:cs="Calibri"/>
          <w:sz w:val="26"/>
          <w:szCs w:val="26"/>
          <w:lang w:val="sr-Latn-ME"/>
        </w:rPr>
      </w:pPr>
    </w:p>
    <w:p w:rsidR="00D833AB" w:rsidRPr="00D833AB" w:rsidRDefault="00D833AB" w:rsidP="00D833AB">
      <w:pPr>
        <w:spacing w:after="0" w:line="240" w:lineRule="auto"/>
        <w:ind w:left="90" w:firstLine="630"/>
        <w:contextualSpacing/>
        <w:jc w:val="both"/>
        <w:rPr>
          <w:rFonts w:ascii="Arial Narrow" w:eastAsia="Calibri" w:hAnsi="Arial Narrow" w:cs="Calibri"/>
          <w:sz w:val="26"/>
          <w:szCs w:val="26"/>
          <w:lang w:val="sr-Latn-ME"/>
        </w:rPr>
      </w:pPr>
      <w:r w:rsidRPr="00D833AB">
        <w:rPr>
          <w:rFonts w:ascii="Arial Narrow" w:eastAsia="Calibri" w:hAnsi="Arial Narrow" w:cs="Calibri"/>
          <w:b/>
          <w:sz w:val="26"/>
          <w:szCs w:val="26"/>
          <w:lang w:val="sr-Latn-ME"/>
        </w:rPr>
        <w:t>8.</w:t>
      </w:r>
      <w:r w:rsidRPr="00D833AB">
        <w:rPr>
          <w:rFonts w:ascii="Arial Narrow" w:eastAsia="Calibri" w:hAnsi="Arial Narrow" w:cs="Calibri"/>
          <w:sz w:val="26"/>
          <w:szCs w:val="26"/>
          <w:lang w:val="sr-Latn-ME"/>
        </w:rPr>
        <w:t xml:space="preserve"> Osporenom presudom Vrhovnog suda Crne Gore, Rev. br. 17/22, od 9. februara 2023, godine, odbijena je revizija tužilje, kao neosnovana.</w:t>
      </w:r>
    </w:p>
    <w:p w:rsidR="00D833AB" w:rsidRPr="00D833AB" w:rsidRDefault="00D833AB" w:rsidP="00D833AB">
      <w:pPr>
        <w:spacing w:after="0" w:line="240" w:lineRule="auto"/>
        <w:ind w:left="90"/>
        <w:contextualSpacing/>
        <w:jc w:val="both"/>
        <w:rPr>
          <w:rFonts w:ascii="Arial Narrow" w:hAnsi="Arial Narrow"/>
          <w:sz w:val="26"/>
          <w:szCs w:val="26"/>
          <w:lang w:val="sr-Latn-ME"/>
        </w:rPr>
      </w:pPr>
    </w:p>
    <w:p w:rsidR="00D833AB" w:rsidRPr="00D833AB" w:rsidRDefault="00D833AB" w:rsidP="00D833AB">
      <w:pPr>
        <w:spacing w:after="0" w:line="240" w:lineRule="auto"/>
        <w:jc w:val="both"/>
        <w:rPr>
          <w:rFonts w:ascii="Arial Narrow" w:eastAsia="Calibri" w:hAnsi="Arial Narrow" w:cs="Calibri"/>
          <w:sz w:val="26"/>
          <w:szCs w:val="26"/>
          <w:lang w:val="sr-Latn-ME"/>
        </w:rPr>
      </w:pPr>
      <w:r w:rsidRPr="00D833AB">
        <w:rPr>
          <w:rFonts w:ascii="Arial Narrow" w:eastAsia="Calibri" w:hAnsi="Arial Narrow" w:cs="Calibri"/>
          <w:sz w:val="26"/>
          <w:szCs w:val="26"/>
          <w:lang w:val="sr-Latn-ME"/>
        </w:rPr>
        <w:tab/>
      </w:r>
      <w:r w:rsidRPr="00D833AB">
        <w:rPr>
          <w:rFonts w:ascii="Arial Narrow" w:eastAsia="Calibri" w:hAnsi="Arial Narrow" w:cs="Calibri"/>
          <w:b/>
          <w:sz w:val="26"/>
          <w:szCs w:val="26"/>
          <w:lang w:val="sr-Latn-ME"/>
        </w:rPr>
        <w:t>8.1.</w:t>
      </w:r>
      <w:r w:rsidRPr="00D833AB">
        <w:rPr>
          <w:rFonts w:ascii="Arial Narrow" w:eastAsia="Calibri" w:hAnsi="Arial Narrow" w:cs="Calibri"/>
          <w:sz w:val="26"/>
          <w:szCs w:val="26"/>
          <w:lang w:val="sr-Latn-ME"/>
        </w:rPr>
        <w:t xml:space="preserve"> U relevantnom dijelu obrazloženja je navedeno:</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“(...)I po mišljenju ovog suda pravilno nižestepeni sudovi nalaze da su tužbeni zahtjevi tužilje neosnovani, i to kako zahtjev za utvrđenje da su tuženi vršili mobing i diskriminatorsko ponašanje nad tužiljom, kao ženom i zaposlenom kod prvotužene, u periodu od 27. oktobra 2017. do 5. jula 2018. godine, tako i zahtjev da se obaveže prvotužena da po osnovu naknade nematerijalne štete, u vidu pretrpljenih i budućih duševnih bolova, zbog povrede dostojanstva, ugleda, ličnog i profesionalnog integriteta, usljed mobinga i diskriminatorskog ponašanja, isplati tužilji iznos od 10.000,00 €, sa zakonskom kamatom od presuđenja, do konačne isplate.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w:t>
      </w:r>
      <w:r w:rsidRPr="00D833AB">
        <w:rPr>
          <w:rFonts w:ascii="Arial Narrow" w:hAnsi="Arial Narrow" w:cs="Arial"/>
          <w:color w:val="000000"/>
          <w:shd w:val="clear" w:color="auto" w:fill="FFFFFF"/>
          <w:lang w:val="sr-Latn-ME"/>
        </w:rPr>
        <w:t xml:space="preserve">Imajući u vidu sve navedeno, nižestepeni sudovi, na temelju rezultata cjelokupnog dokaznog postupka provedenog pred prvostepenim sudom, pravilno nalaze da tužilja nije pružila dokaze kojima bi na </w:t>
      </w:r>
      <w:r w:rsidRPr="00D833AB">
        <w:rPr>
          <w:rFonts w:ascii="Arial Narrow" w:hAnsi="Arial Narrow" w:cs="Arial"/>
          <w:color w:val="000000"/>
          <w:shd w:val="clear" w:color="auto" w:fill="FFFFFF"/>
          <w:lang w:val="sr-Latn-ME"/>
        </w:rPr>
        <w:lastRenderedPageBreak/>
        <w:t>relevantan način učinila vjerovatnim da je nad njom izvršeno zlostavljanje na radu, ili da je od strane tuženih prema njoj diskriminatorski postupano, pri čemu je za ukazati da tužilja svoj tužbeni zahtjev temelji na nizu činjenica, situacija i događaja, čiji nastanak je, po njenom stanovištu, rezultat postupaka tuženih koji se karakterišu kao zlostavljanje na radu ili kojima su tužilju stavili u diskriminisani požaj.</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I po mišljenju ovog suda nižestepeni sudovi su na utvrđeno činjenično stanje pravilno primijenili navedene odredbe materijalnog prava (uključujući i potvrđene i objavljene međunarodne ugovore i opšteprihvaćena pravila međunarodnog prava, shodno članu 9 Ustava Crne Gore), te pravilno zaključili da je, za eventualno utvrđenje da je tužilja, u spornom periodu, bila diskriminisana od svog poslodavca, pored ispunjenosti uslova da ista nije jednako tretirana kao ostali viceguverneri, nephodno bilo da tužilja učini vjerovatnim da je nejednako postupanje posljedica nekog njenog ličnog svojstva, kao osnova za diskriminaciju (nacionalna pripadnost, rasa, boja kože, pol, vjeroispovijest itd.), odnosno potrebno je bilo da ista sudu prezentira dokaze koji svjedoče o uspostavljenoj uzročnoj vezi između nepovoljnog postupanja prema tužilji, i pravno zaštićene osnove (njenog ličnog svojstva), a što tužilja, u konkretnom slučaju, nije učinila vjerovatnim.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Prednje, tim prije kada se ima u vidu da tužilja, u predmetnom inicijalnom aktu (tužbi) nije označila osnov po kojem je bila diskriminisana u odnosu na druge viceguvernere, a na pitanje suda na pripremnom ročištu da se izjasni zbog kojeg njenog ličnog svojstva je bila diskriminisana, istakla je da smatra da je razlog animozitet od strane drugotuženog prema njoj, zbog toga što je u jednom periodu važila za kandidata za guvernera Centralne banke.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Međutim, tužilja ni u svom iskazu datom u svojstvu parnične stranke nije navela da je važila za kandidata za guvernera Centralne banke CG, niti takva okolnost proizilazi iz sadržine iskaza drugotuženog i svjedoka, kao ni pisanih dokaza koji su provedeni u toku postupka, a što, kako pravilno nalaze nižestepeni sudovi, nije ni logično budući da nije sporno da je drugotuženi poznavao tužilju iz perioda koji je prethodio njenom izboru za funkciju viceguvernera Centralne banke CG, te da je upravo on, kao guverner, predložio za viceguvernera za kontrolu bankarskog sektora.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Osim toga za ukazati je da je tužilja tek u završnoj fazi postupka, u podnesku od 24. juna 2020. godine, neposredno prije zaključenja glavne rasprave pred prvostepenim sudom, precizirajući tužbeni zahtjev, istakla da su tuženi vršili diskriminatorsko ponašanje nad njom kao ženom.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Nižestepeni sudovi, pri tom, pravilno nalaze da tužilja nije učinila vjerovatnim da su postupci tuženih, koje je doživjela i označila kao akte diskriminacije i zlostavljanja na radu na njenu štetu, bili u direktnoj uzročnoj vezi sa činjenicom da je tužilja osoba ženskog pola.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Prednje, tim prije kada se ima u vidu da tužilja nije uspjela da na relevantan način dokaže, do stepena vjerovatnosti, da su se tuženi u svim predmetnim situacijama u donošenju odluka kojima je navodno stavljena u neravnopravan položaj, vodili činjenicom da je tužilja osoba ženskog pola ili drugim njenim ličnim svojstvom, što je osnovni element koji u jednom postupanju mora postojati da bi se mogao cijeniti kao diskriminatorski, pri čemu se ta činjenica ne može pretpostavljati i ne može zasnivati na subjektivnom doživljaju.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Nadalje, tužilja svoj tužbeni zahtjev temelji i na tvrdnji da su, u spornom periodu, tuženi vršili mobing i diskriminatorsko ponašanje nad njom, na način što su joj uskratili pravo na rad, drastično redukovali, a potom i ukinuli sva ovlašćenja, vršili neravnomjeran preraspored radnih zadataka, ovlašćenja i zaposlenih u odnosu na druga dva viceguvernera, a posebno viceguvernera N.F., uz isplatu nižih primanja u odnosu na drugo lice muškog pola, s istim profesionalnim statusom i akademskim referencama, te da u spornom periodu ni jednom nije mijenjala guvernera, za razliku od ostalih viceguvernera.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Međutim, nižestepeni sudovi, kod svega utvrđenog i navedenog (na temelju rezultatata cjelokupnog dokaznog postupka, provedenog pred prvostepenim sudom, uključujući i iskaze saslušanih svjedoka, te provedena vještačenja) pravilno nalaze da tužilja nije učinila vjerovatnim prednje iznijete navode, koji su zasnovani na subjektivnom doživljaju činjenica, situacija i događaja, čiji nastanak je, po stanovištu tužilje, rezultat postupaka tuženih koji se karakterišu kao zlostavljanje na radu ili kojima su tužilju stavili u diskriminisani požaj.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U vezi sa prednjim, za ukazati je da je, u vrijeme imenovanja tužilje na poziciju viceguvernera Centralne banke CG za kontrolu bankarskog sistema, na snazi bio Zakon o Centralnoj banci CG (“Sl. list CG”, br. 40/2010 i 46/10), koji je u odredbi člana 46 propisivao da Savjet Centralne banke CG, između ostalih, čine i viceguverner za kontrolu bankarskog sistema i viceguverner za finansijsku stabilnost i platni promet, pri čemu je odredbom čl. 47 i 48 propisano da viceguverner za kontrolu bankarskog sistema obavlja poslove kontrole bankarskog sistema, a viceguverner za finansijsku stabilnost i platni promet obavlja poslove koji se odnose na finansijsku stabilnost i platni promet, i to na način što u vršenju svojih ovlašćenja predlažu guverneru odgovarajuća rješenja i druge akte.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lastRenderedPageBreak/>
        <w:t xml:space="preserve">Međutim, donošenjem Zakona o izmjenama i dopunama Zakona o Centralnoj banci CG (“Sl. list CG”, br. 70/17), izmijenjena je odredba člana 46 i propisano je da Savjet Centralne banke, između ostalih, čine i tri viceguvernera, dok su izbrisane odredbe čl. 47 i 48 Zakona o Centralne banke CG, te je na taj način obavljanje poslova kontrole bankarskog sistema i poslova koji se odnose na finansijsku stabilnost i platni promet prestalo da bude u nadležnosti viceguvernera. I nakon donošenja Zakona o izmjenama i dopunama Zakona o Centralnoj banci CG ostala je na snazi odredba člana 45 Zakona, kojom je rukovođenje Centralnom bankom povjereno guverneru, u cilju čega su u drugom stavu tog člana definisane nadležnosti koje ima guverner, između ostalog i da guverner predstavlja i zastupa Centralnu banku (tačka 1), organizuje rad Centralne banke (tačka 2), stara se o izvršavanju politike Centralne banke i odluka Savjeta (tačka 3), donosi opšte akte u skladu sa Statutom i druge akte koji se odnose na unutrašnje poslovanje Centralne banke (tačka 7), donosi rješenja i druge akte u postupku kontrole kreditnih institucija, platnih institucija, institucija za elektronski novac i platnih sistema, kao i u postupku kontrole obavljanja poslova finansijskog lizinga, faktoringa, otkupa potraživanja, mikrokreditiranja i kreditno - garantnih poslova (tačka 9), imenuje lica sa posebnim ovlašćenjima i odgovornostima, ukoliko ovim zakonom nije drukčije određeno (tačka 11), odlučuje o materijalno - finansijskom poslovanju (tačka 12), odlučuje o pravima i obavezama iz radnog odnosa i po osnovu rada zaposlenih (tačka 14) i drugo.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Takođe, odredbom člana 45 st. 6 i 7 Zakona o Centralne banke CG propisano je da guverner određuje viceguvernera koji ga zamjenjuje za vrijeme njegovog odsustva i da guverner može pojedine poslove iz svoje nadležnosti prenijeti na viceguvernere. </w:t>
      </w:r>
    </w:p>
    <w:p w:rsidR="00D833AB" w:rsidRPr="00D833AB" w:rsidRDefault="00D833AB" w:rsidP="00D833AB">
      <w:pPr>
        <w:spacing w:after="0" w:line="240" w:lineRule="auto"/>
        <w:ind w:firstLine="720"/>
        <w:jc w:val="both"/>
        <w:rPr>
          <w:rFonts w:ascii="Verdana" w:eastAsia="Times New Roman" w:hAnsi="Verdana" w:cs="Times New Roman"/>
          <w:lang w:val="sr-Latn-ME"/>
        </w:rPr>
      </w:pPr>
      <w:r w:rsidRPr="00D833AB">
        <w:rPr>
          <w:rFonts w:ascii="Arial Narrow" w:eastAsia="Times New Roman" w:hAnsi="Arial Narrow" w:cs="Times New Roman"/>
          <w:lang w:val="sr-Latn-ME"/>
        </w:rPr>
        <w:t>Nadalje, na snazi je ostala i odredba člana 58 Zakona o Centralne banke CG, kojom je propisano da su guverner i viceguverneri zaposleni u Centralnoj banci i da profesionalno obavljaju funkciju člana Savjeta, kojem je shodno odredbi člana 44 tog zakona povjereno upravljanje Centralnom bankom CG, pri čemu isti, shodno odredbi člana 62 stav 1 istog zakona, o poslovima iz svog djelokruga odlučuje na sjednicama, koje se održavaju po pravilu jednom mjesečno, ali ne manje od deset puta u jednoj kalendarskoj godini.</w:t>
      </w:r>
      <w:r w:rsidRPr="00D833AB">
        <w:rPr>
          <w:rFonts w:ascii="Verdana" w:eastAsia="Times New Roman" w:hAnsi="Verdana" w:cs="Times New Roman"/>
          <w:lang w:val="sr-Latn-ME"/>
        </w:rPr>
        <w:t xml:space="preserve">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Takođe, i odredbom člana 9 Statuta Centralne banke CG (“Sl. list CG”, br. 83/17 od 11.12.2017) propisano je da Centralnom bankom CG upravlja Savjet, dok odredbe čl. 6 i 7 propisuju da guverner zastupa Centralnu banku CG i da je predstavlja u zemlji i inostranstvu, ali da guverner može ovlastiti i viceguvernera da u ime i za račun Centralne banke zaključi pojedini pravni posao i preduzme određenu pravnu radnju, kao i da predstavlja Centralnu banku u zemlji i inostranstvu.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Nadalje, Statut propisuje da guverner rukovodi Centralnom bankom CG (član 14), te da guverner posebnom odlukom određuje viceguvernera koji ga zamjenjuje za vrijeme njegovog odsustva (član 18), kao i da guverner može posebnom odlukom određene poslove iz svoje nadležnosti prenijeti na viceguvernera, pri čemu je za zakonito, stručno i blagovremeno izvršavanje prenijetih poslova viceguverner odgovoran guverneru (član 19). Odredba člana 21 Statuta propisuje da guverner može formirati stalna i privremena stručna i savjetodavna radna tijela (komisije, radne grupe, komitete, odbore i dr.) i donositi akte kojima uređuje njihov rad. Konačno, odredbe čl. 37 i 38 Statuta propisuju da guverner po sopstvenoj inicijativi donosi pravilnike, uputstva, odluke i druge opšte akte koji se odnose na unutrašnje poslovanje Centralne banke, koji moraju biti u skladu sa Zakonom i ovim statutom, kao i druge akte u skladu sa zakonom. </w:t>
      </w:r>
    </w:p>
    <w:p w:rsidR="00D833AB" w:rsidRPr="00D833AB" w:rsidRDefault="00D833AB" w:rsidP="00D833AB">
      <w:pPr>
        <w:spacing w:after="0" w:line="240" w:lineRule="auto"/>
        <w:jc w:val="both"/>
        <w:rPr>
          <w:rFonts w:ascii="Arial Narrow" w:eastAsia="Times New Roman" w:hAnsi="Arial Narrow" w:cs="Times New Roman"/>
          <w:lang w:val="sr-Latn-ME"/>
        </w:rPr>
      </w:pPr>
      <w:r w:rsidRPr="00D833AB">
        <w:rPr>
          <w:rFonts w:ascii="Verdana" w:eastAsia="Times New Roman" w:hAnsi="Verdana" w:cs="Times New Roman"/>
          <w:lang w:val="sr-Latn-ME"/>
        </w:rPr>
        <w:tab/>
      </w:r>
      <w:r w:rsidRPr="00D833AB">
        <w:rPr>
          <w:rFonts w:ascii="Arial Narrow" w:eastAsia="Times New Roman" w:hAnsi="Arial Narrow" w:cs="Times New Roman"/>
          <w:lang w:val="sr-Latn-ME"/>
        </w:rPr>
        <w:t xml:space="preserve">Imajući u vidu sve navedeno, te citirane odredbe materijalnog prava, nižestepeni sudovi pravilno nalaze da su odluke drugotuženog, na osnovu kojih je tužilja prestala da rukovodi Sektorom kontrole bankarskog sistema i preuzela rukovođenje Sektorom za kontrolu pružanja finansijskih usluga, te na osnovu kojih joj je kasnije oduzeta i ta nadležnost, i na osnovu kojih je prestala nadležnost tužilje da rukovodi registrom zaduženja i njeno članstvo u Investicionom komitetu, donijete na osnovu ovlašćenja guvernera Centralne banke CG, koja ovlašćenja proizilaze iz naznačenih propisa. </w:t>
      </w:r>
    </w:p>
    <w:p w:rsidR="00D833AB" w:rsidRPr="00D833AB" w:rsidRDefault="00D833AB" w:rsidP="00D833AB">
      <w:pPr>
        <w:spacing w:after="0" w:line="240" w:lineRule="auto"/>
        <w:jc w:val="both"/>
        <w:rPr>
          <w:rFonts w:ascii="Arial Narrow" w:eastAsia="Times New Roman" w:hAnsi="Arial Narrow" w:cs="Times New Roman"/>
          <w:lang w:val="sr-Latn-ME"/>
        </w:rPr>
      </w:pPr>
      <w:r w:rsidRPr="00D833AB">
        <w:rPr>
          <w:rFonts w:ascii="Verdana" w:eastAsia="Times New Roman" w:hAnsi="Verdana" w:cs="Times New Roman"/>
          <w:lang w:val="sr-Latn-ME"/>
        </w:rPr>
        <w:tab/>
      </w:r>
      <w:r w:rsidRPr="00D833AB">
        <w:rPr>
          <w:rFonts w:ascii="Arial Narrow" w:eastAsia="Times New Roman" w:hAnsi="Arial Narrow" w:cs="Times New Roman"/>
          <w:lang w:val="sr-Latn-ME"/>
        </w:rPr>
        <w:t xml:space="preserve">Naime, nakon što je dana 4. novembra 2017. godine stupio na snagu Zakon o izmjenama i dopunama Zakona o Centralnoj banci CG (“Sl. list Crne Gore”, br. 70/17) više nije bilo u nadležnosti viceguvernera da obavljaju poslova kontrole bankarskog sistema i poslova koji se odnose na finansijsku stabilnost i platni promet, već je cjelokupno rukovođenje Centralnom bankom skoncentrisano u nadležnosti guvernera, koji ima mogućnost, dakle ne i obavezu, da pojedine poslove iz svoje nadležnosti prenese na viceguvernere (član 45 st.1, 2, 6 i 7 Zakona o Centralnoj banci CG i čl. 14 i 19 Statuta Centralne banke).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Shodno tome, drugotuženi je, na osnovu svojih zakonskih ovlašćenja (član 45 stav 2 tačka 7 Zakona o Centralnoj banci CG i čl. 37 i 38 Statuta), prvenstveno donio Pravilnik o izmjenama i dopunama Pravilnika o sistematizaciji radnih mjesta u Centralnoj banci CG, br. 0102-10686-1/2017 od 25. decembra 2017. godine, prema kojem takođe viceguverneri više nisu vršili nadležnosti kontrole bankarskog sistema, finansijske stabilnosti i platnog prometa, te je istim Pravilnikom uveden novi Sektor za kontrolu pružanja finansijskih usluga, čije je organizovanje Odlukom o prenosu pojedinih poslova na viceguvernerku, br. 0102-10743-1/2017 od 27. </w:t>
      </w:r>
      <w:r w:rsidRPr="00D833AB">
        <w:rPr>
          <w:rFonts w:ascii="Arial Narrow" w:eastAsia="Times New Roman" w:hAnsi="Arial Narrow" w:cs="Times New Roman"/>
          <w:lang w:val="sr-Latn-ME"/>
        </w:rPr>
        <w:lastRenderedPageBreak/>
        <w:t xml:space="preserve">decembra 2017. godine prenijeto na tužilju, dok je drugotuženi na sebe preuzeo rukovođenje Sektorom kontrole bankarskog sistema.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Nadalje, drugotuženi je donio Pravilnik o izmjenama Pravilnika o unutrašnjoj organizaciji Centralne banke CG, br. 0102-1481-1/2018 od 31. januara 2018. godine, kojim su poslovi koji se odnose na registar zaduženja prenijeti iz Sektora za pružanje finansijskih usluga u Sektor za kontrolu banaka, shodno čemu je drugotuženi donio Odluku br. 0102-10743-2/2017 od 1. februara 2018. godine kojom su iz djelokruga prenesenih poslova na tužilju izbrisani poslovi koji se odnose na registar zaduženja, jer ti poslovi više nisu u djelokrugu Sektora za kontrolu pružanja finansijskih usluga. </w:t>
      </w:r>
    </w:p>
    <w:p w:rsidR="00D833AB" w:rsidRPr="00D833AB" w:rsidRDefault="00D833AB" w:rsidP="00D833AB">
      <w:pPr>
        <w:spacing w:after="0" w:line="240" w:lineRule="auto"/>
        <w:jc w:val="both"/>
        <w:rPr>
          <w:rFonts w:ascii="Arial Narrow" w:eastAsia="Times New Roman" w:hAnsi="Arial Narrow" w:cs="Times New Roman"/>
          <w:lang w:val="sr-Latn-ME"/>
        </w:rPr>
      </w:pPr>
      <w:r w:rsidRPr="00D833AB">
        <w:rPr>
          <w:rFonts w:ascii="Verdana" w:eastAsia="Times New Roman" w:hAnsi="Verdana" w:cs="Times New Roman"/>
          <w:lang w:val="sr-Latn-ME"/>
        </w:rPr>
        <w:tab/>
      </w:r>
      <w:r w:rsidRPr="00D833AB">
        <w:rPr>
          <w:rFonts w:ascii="Arial Narrow" w:eastAsia="Times New Roman" w:hAnsi="Arial Narrow" w:cs="Times New Roman"/>
          <w:lang w:val="sr-Latn-ME"/>
        </w:rPr>
        <w:t xml:space="preserve">Konačno, Odlukom drugotuženog br. 0102-2649-1/2018, od 12. marta 2018. godine u cjelosti je prestala da važi Odluka o prenosu pojedinih poslova na tužilju kao viceguvernerku, br. 0102-10743-1/2017 od 27. decembra 2017. godine, čime je prestao tužiljin angažman na poslovima organizovanja rada Sektora za kontrolu pružanja finansijskih usluga. Istog dana, drugotuženi, u čijoj je nadležnosti, shodno odredbi člana 21 Centralne banke CG, formiranje stalnih i privremenih stručnih i savjetodavnih radnih tijela (komisija, radnih grupa, komiteta, odbora i dr.), Odlukom o izmjeni Odluke o formiranju Investicionog komiteta br. 0102-789-3/2018 ukinuo je tužilji članstvo u Investicionom komitetu, pri čemu je prethodno dana 17. januara 2018. godine izmjenom Odluke o formiranju Investicionog komiteta br. 0102-789-1/2018 tužilju sa mjesta zamjenika predsjednika Komiteta postavio za člana Komiteta.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Dakle, navedene odluke drugotuženog, i po mišljenju ovog suda, ne mogu predstavljati čin mobinga ili diskriminacije tužilje, budući da su iste donijete isključivo na osnovu važećih Zakona o Centralnoj banci CG, Statuta Centralne banke CG i Pravilnika o sistematizaciji radnih mjesta, na osnovu kojih je rukovođenje Centralnom bankom, donošenje Pravilnika o sistematizaciji i formiranje privremenih i stalnih radnih tijela u cjelosti povjereno drugotuženom kao guverneru. </w:t>
      </w:r>
    </w:p>
    <w:p w:rsidR="00D833AB" w:rsidRPr="00D833AB" w:rsidRDefault="00D833AB" w:rsidP="00D833AB">
      <w:pPr>
        <w:spacing w:after="0" w:line="240" w:lineRule="auto"/>
        <w:jc w:val="both"/>
        <w:rPr>
          <w:rFonts w:ascii="Arial Narrow" w:eastAsia="Times New Roman" w:hAnsi="Arial Narrow" w:cs="Times New Roman"/>
          <w:lang w:val="sr-Latn-ME"/>
        </w:rPr>
      </w:pPr>
      <w:r w:rsidRPr="00D833AB">
        <w:rPr>
          <w:rFonts w:ascii="Arial Narrow" w:eastAsia="Times New Roman" w:hAnsi="Arial Narrow" w:cs="Times New Roman"/>
          <w:lang w:val="sr-Latn-ME"/>
        </w:rPr>
        <w:tab/>
        <w:t xml:space="preserve">Evropski sud za ljudska prava u brojnim predmetima, između ostalog i u predmetu </w:t>
      </w:r>
      <w:r w:rsidRPr="00D833AB">
        <w:rPr>
          <w:rFonts w:ascii="Arial Narrow" w:eastAsia="Times New Roman" w:hAnsi="Arial Narrow" w:cs="Times New Roman"/>
          <w:i/>
          <w:lang w:val="sr-Latn-ME"/>
        </w:rPr>
        <w:t>Burden protiv Ujedinjenog Kraljevstva</w:t>
      </w:r>
      <w:r w:rsidRPr="00D833AB">
        <w:rPr>
          <w:rFonts w:ascii="Arial Narrow" w:eastAsia="Times New Roman" w:hAnsi="Arial Narrow" w:cs="Times New Roman"/>
          <w:lang w:val="sr-Latn-ME"/>
        </w:rPr>
        <w:t xml:space="preserve"> (br.13378/05), ali i drugim (</w:t>
      </w:r>
      <w:r w:rsidRPr="00D833AB">
        <w:rPr>
          <w:rFonts w:ascii="Arial Narrow" w:eastAsia="Times New Roman" w:hAnsi="Arial Narrow" w:cs="Times New Roman"/>
          <w:i/>
          <w:lang w:val="sr-Latn-ME"/>
        </w:rPr>
        <w:t>Okpisz protiv Njemačke</w:t>
      </w:r>
      <w:r w:rsidRPr="00D833AB">
        <w:rPr>
          <w:rFonts w:ascii="Arial Narrow" w:eastAsia="Times New Roman" w:hAnsi="Arial Narrow" w:cs="Times New Roman"/>
          <w:lang w:val="sr-Latn-ME"/>
        </w:rPr>
        <w:t xml:space="preserve">, br.59140/00 i </w:t>
      </w:r>
      <w:r w:rsidRPr="00D833AB">
        <w:rPr>
          <w:rFonts w:ascii="Arial Narrow" w:eastAsia="Times New Roman" w:hAnsi="Arial Narrow" w:cs="Times New Roman"/>
          <w:i/>
          <w:lang w:val="sr-Latn-ME"/>
        </w:rPr>
        <w:t>Larkos protiv Kipra</w:t>
      </w:r>
      <w:r w:rsidRPr="00D833AB">
        <w:rPr>
          <w:rFonts w:ascii="Arial Narrow" w:eastAsia="Times New Roman" w:hAnsi="Arial Narrow" w:cs="Times New Roman"/>
          <w:lang w:val="sr-Latn-ME"/>
        </w:rPr>
        <w:t xml:space="preserve">, br.29515/95), nalazi da, u slučaju da se radi o pitanju iz člana 14 Konvencije, mora postojati različito postupanje s osobama u analognim, ili relativno sličnim okolnostima, te da ne predstavlja svako različito postupanje ujedno i povredu člana 14. </w:t>
      </w:r>
    </w:p>
    <w:p w:rsidR="00D833AB" w:rsidRPr="00D833AB" w:rsidRDefault="00D833AB" w:rsidP="00D833AB">
      <w:pPr>
        <w:spacing w:after="0" w:line="240" w:lineRule="auto"/>
        <w:jc w:val="both"/>
        <w:rPr>
          <w:rFonts w:ascii="Arial Narrow" w:eastAsia="Times New Roman" w:hAnsi="Arial Narrow" w:cs="Times New Roman"/>
          <w:lang w:val="sr-Latn-ME"/>
        </w:rPr>
      </w:pPr>
      <w:r w:rsidRPr="00D833AB">
        <w:rPr>
          <w:rFonts w:ascii="Arial Narrow" w:eastAsia="Times New Roman" w:hAnsi="Arial Narrow" w:cs="Times New Roman"/>
          <w:lang w:val="sr-Latn-ME"/>
        </w:rPr>
        <w:tab/>
        <w:t xml:space="preserve">Naime, različito postupanje je diskriminatorsko, ako nema objektivnog i razumnog opravdanja, tj. ako ne teži legitimnom cilju, ili ako nema razumnog odnosa srazmjernosti između korišćenih sredstava i cilja koji se želi ostvariti. </w:t>
      </w:r>
    </w:p>
    <w:p w:rsidR="00D833AB" w:rsidRPr="00D833AB" w:rsidRDefault="00D833AB" w:rsidP="00D833AB">
      <w:pPr>
        <w:spacing w:after="0" w:line="240" w:lineRule="auto"/>
        <w:jc w:val="both"/>
        <w:rPr>
          <w:rFonts w:ascii="Arial Narrow" w:eastAsia="Times New Roman" w:hAnsi="Arial Narrow" w:cs="Times New Roman"/>
          <w:lang w:val="sr-Latn-ME"/>
        </w:rPr>
      </w:pPr>
      <w:r w:rsidRPr="00D833AB">
        <w:rPr>
          <w:rFonts w:ascii="Verdana" w:eastAsia="Times New Roman" w:hAnsi="Verdana" w:cs="Times New Roman"/>
          <w:lang w:val="sr-Latn-ME"/>
        </w:rPr>
        <w:tab/>
      </w:r>
      <w:r w:rsidRPr="00D833AB">
        <w:rPr>
          <w:rFonts w:ascii="Arial Narrow" w:eastAsia="Times New Roman" w:hAnsi="Arial Narrow" w:cs="Times New Roman"/>
          <w:lang w:val="sr-Latn-ME"/>
        </w:rPr>
        <w:t xml:space="preserve">Imajući u vidu sve navedeno (citirane propise i praksu Evropskog suda za ljudska prava), za utvrđivanje diskriminacije potrebno je da se ispune tri uslova. Prvi predstavlja nejednako postupanje (razlikovanje, davanje prednosti ili isključivanje) u odnosu na jedno lice ili grupu ljudi koja se nalaze u uporedivim situacijama. Ukoliko nema nejednakog postupanja, odnosno razlike u tretmanu u uporednoj situaciji, nema ni diskriminacije. Drugi uslov je da je nejednako postupanje posljedica nekog od osnova za diskriminaciju (nacionalna pripadnost, rasa, boja kože, pol, vjeroispovijest itd.). Dakle, kod pravno zaštićene osnove potrebno je uspostavljanje uzročne veze između nepovoljnog postupanja i pravno zaštićene osnove. Konačno, treći uslov je da nejednako postupanje ima za posljedicu nemogućnost ostvarivanja nekog prava iz rada ili po osnovu rada, u potpunosti ili djelimično. Ukoliko se nejednako postupanje utvrdi, potrebno je da ne postoji objektivno i razumno opravdanje za nejednako postupanje, koje se procjenjuje po tome da li se učinjenim razlikovanjem težilo legitimnom cilju, ako takav cilj postoji, te da li postoji odnos srazmjernosti između učinjenog razlikovanja i cilja kojem se težilo.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Takođe, i po mišljenju ovog suda, ponašanja koja se ne smatraju zlostavljanjem su pojedinačni akti poslodavca (rješenja, ponude aneksa ugovora o radu, upozorenja i drugo), kojim je rješavano o pravima, obavezama i odgovornostima iz radnog odnosa, protiv kojih zaposleni ima pravo na zaštitu u postupku propisanom posebnim zakonom, ali ni povremene razlike u mišljenjima, problemi i konflikti u vezi sa obavljanjem poslova i radnih zadataka, osim ako isti imaju za cilj da povrijede ili namjerno uvrijede zaposlenog, a o čemu, kako pravilno nalaze nižestepeni sudovi, u konkretnom nije slučaj, budući da tužilja nije učinila vjerovatnim da su tuženi vršili mobing i diskriminatorsko ponašanje (na način bliže predstavljen u izreci prvostepene presude), zatim nije učinila vjerovatnim da su ta ponašanja imala za posljedicu nemogućnost ostvarivanja nekog prava iz rada ili po osnovu rada, te nije učinila vjerovatnim da je nejednako postupanje posljedica nekog od osnova za diskriminaciju (između ostalog ni pol, koji osnov je tužilja potencirala).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Nižestepeni sudovi, nasuprot neosnovanim navodima revizije, pravilno nalaze da tužilja, kao pretpostavljena žrtva diskriminacije, u toku postupka ni jednim dokazom nije na relevantan način učinila vjerovatnim da je drugotuženi navedene (prednje naznačene) odluke donio vodeći se nekim ličnim svojstvom tužilje (zabranjeni osnov) ili da iste predstavljaju akte psihičkog zlostavljanja tužilje i njenog poniženja sa ciljem </w:t>
      </w:r>
      <w:r w:rsidRPr="00D833AB">
        <w:rPr>
          <w:rFonts w:ascii="Arial Narrow" w:eastAsia="Times New Roman" w:hAnsi="Arial Narrow" w:cs="Times New Roman"/>
          <w:lang w:val="sr-Latn-ME"/>
        </w:rPr>
        <w:lastRenderedPageBreak/>
        <w:t xml:space="preserve">povrede njenog dostojantva, ugleda, ličnog ili profesionalnog integriteta ili sa namjerom da se njeno zdravlje naruši.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Nadalje, nižestepeni sudovi su dali valjane i jasne razloge i povodom navoda tužilje da se radnje mobinga tuženih ostvaruju i u činjenici da su isti širili neistine o privatnom životu i moralu tužilje, kao žene, tvrdeći da je u Centralnoj banci kružio jedan papir na kojem je ona optužena za nemoralno ponašanje, kao žena, pri čemu drugotuženog dovodi u vezu sa širenjem ovakvih informacija iz razloga što je taj akt dostavio u ovom postupku i predložio kao dokaz.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U vezi sa prednjim za ukazati je da dokument, na koji tužilja ukazuje, predstavlja izjavu koja je, navodno, dana 24. juna 2013. godine, dostavljena N.K., savjetniku predsjednika Vlade za vanjsku politiku, i koju izjavu je, navodno, sačinila S. V. (službenica Generalnog sekretarijata Vlade CG u Sektoru za poslove protokola), s tim što taj dokument niti je potpisan, niti je snabdjeven zavodnim pečatom Vlade, a u istom dokumentu se sugeriše na navodno "nedolično" ponašanje koje je tužilja ispoljavala prema Princu Albertu II od Monaka tokom trodnevne posjete delegacije iz Monaka (od 19. do 21. juna 2013. godine), a koji dokument je, kao dokaz, dostavljen uz podnesak punomoćnika tuženih od 18. oktobra 2018. godine.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Dakle, tužilja tvrdnju da je u okviru Centralne banke kružio dokument kojim je ona neosnovano optužena za nemoralno ponašanje nije istakla u samoj tužbi, dok iz sadržine njenog iskaza proizilazi da tuženu stranu u vezu sa ovim dokumentom dovodi jer su ga isti dostavili kao dokaz u predmetnom postupku, pa se, kod takvog stanja stvari, a kako pravilno nalaze nižestepeni sudovi, nameće kao logičan zaključak da je tužilja o sadržini tog dokumenta, ili makar o činjenici da se isti nalazi u posjedu tužene strane, saznala po dostavljanju sudu podneska punomoćnika tuženih od 18.10.2018. godine, odnosno da joj navedene činjenice nisu bile poznate ranije, konkretno ne u periodu dok je bila u radnom odnosu kod prvotužene. </w:t>
      </w:r>
    </w:p>
    <w:p w:rsidR="00D833AB" w:rsidRPr="00D833AB" w:rsidRDefault="00D833AB" w:rsidP="00D833AB">
      <w:pPr>
        <w:spacing w:after="0" w:line="240" w:lineRule="auto"/>
        <w:ind w:firstLine="720"/>
        <w:jc w:val="both"/>
        <w:rPr>
          <w:rFonts w:ascii="Verdana" w:eastAsia="Times New Roman" w:hAnsi="Verdana" w:cs="Times New Roman"/>
          <w:lang w:val="sr-Latn-ME"/>
        </w:rPr>
      </w:pPr>
      <w:r w:rsidRPr="00D833AB">
        <w:rPr>
          <w:rFonts w:ascii="Arial Narrow" w:eastAsia="Times New Roman" w:hAnsi="Arial Narrow" w:cs="Times New Roman"/>
          <w:lang w:val="sr-Latn-ME"/>
        </w:rPr>
        <w:t xml:space="preserve">Osim toga za ukazati je da tužilja nije učinila vjerovatnim da su drugotuženi ili bilo ko od članova kolektiva prvotužene, u periodu dok je obavljala funkciju viceguvernerke Centralne banke CG, distribuirali sporni dokument između zaposlenih u Centralnoj  banci ili šire.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Prednje, tim prije kada se ima u vidu činjenica da, na temelju rezultata dokaznog postupka provedenog pred prvostepenim sudom, nije utvrđeno da su zaposleni kod prvotužene imali saznanja o tome da bilo ko kroz Centralnu banu širi informacije kojim bi se podrivali kvaliteti tužilje, kao žene i dovodila u pitanje njena moralnost, te da ni jedan od saslušanih svjedoka (M. G., N. F., M.R., D. B. i R. L.) nije potvrdio tvrdnju tužilje da je ista bila vrijeđana i omalovažavana, bilo profesionalno ili lično.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Osim toga, a u vezi spornog dokumenta (kojim se ukazivalo na navodno nemoralno ponašanje tužilje) za ukazati je da je svjedok L. pojasnio da mu je u aprilu 2017. godine u poštu stigao jedan dokument koji se bavio prošlošću tužilje, a koji je on pocijepao i bacio, jer se radilo o nepotpisanom dokumentu koji nije imao veze sa Centralnom bankom.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Sve prethodno naznačeno, i po mišljenju ovog suda, navodi na zaključak da, u toku trajanja radnog odnosa tužilje, tuženi nisu učestvovali u širenju informacija kojima se kompromituje njen privatni život, odnosno čast i ugled tužilje, te i da su odgovorna lica prvotužene u jednom pokušaju da se to učini (kada je u poštu stigao navedeni dokument, koji je očigledno imao za cilj kompromitaciju tužilje, njenog privatnog života, časti i ugleda) adekvatno reagovala i spriječila širenje dokumenta koji je imao takav kompromitujući cilj.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Činjenica da je punomoćnik tuženih, uz podnesak od 18. oktobra 2018. godine, dostavio dokument sporne sadržine, sam po sebi, kako pravilno nalaze nižestepeni sudovi, ne može predstavljati čin zlostavljanja na radu, budući da tužilja, u tom periodu, više nije ni bila u radnom odnosu kod prvotužene, te povreda prava ličnosti tužilje, koja je eventualno izvršena ovim aktom punomoćnika tuženih, ne može biti predmet ovog parničnog postupka.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Imajući u vidu sve navedeno, nižestepeni sudovi pravilno nalaze da se ni jedan od postupaka tuženih (koji su potencirani tužbom), a nasuprot neosnovanim navodima revizije, nije mogao podvesti pod mobing ili diskriminaciju tužilje, kao žene, u odnosu na druga lica sa istim profesionalnim statusom, pa s obzirom da tužilja nije učinila vjerovatnim da su diskriminacija i mobing postojali, to ista, i po mišljenju ovog suda, nije uspjela dokazati (sa stepenom vjerovatnoće) postojanje takvog zabranjenog ponašanja, u spornom periodu.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Kod takvog stanja stvari, tužbeni zahtjev, kojim je traženo utvrđenje postojanja diskriminacije i mobinga, pravilno je odbijen kao neosnovan.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t xml:space="preserve">Odbijanje navedenog tužbenog zahtjeva, za posljedicu ima, i odbijanje zahjeva za naknadu nematerijalne štete, zbog duševnih bolova, s obzirom da za navedene duševne bolove tuženi ne mogu biti odgovorni, pri čemu je za ukazati da iz nalaza vještaka neuropsihijatra proizilazi da je subjektivno doživljavanje tužilje moralno zlostavljanje i ponižavanje, kao i ugrožavanje njenog ugleda i časti, dostojanstva i prava ličnosti zbog pretrpljenog mobinga na radnom mjestu. </w:t>
      </w:r>
    </w:p>
    <w:p w:rsidR="00D833AB" w:rsidRPr="00D833AB" w:rsidRDefault="00D833AB" w:rsidP="00D833AB">
      <w:pPr>
        <w:spacing w:after="0" w:line="240" w:lineRule="auto"/>
        <w:ind w:firstLine="720"/>
        <w:jc w:val="both"/>
        <w:rPr>
          <w:rFonts w:ascii="Arial Narrow" w:eastAsia="Times New Roman" w:hAnsi="Arial Narrow" w:cs="Times New Roman"/>
          <w:lang w:val="sr-Latn-ME"/>
        </w:rPr>
      </w:pPr>
      <w:r w:rsidRPr="00D833AB">
        <w:rPr>
          <w:rFonts w:ascii="Arial Narrow" w:eastAsia="Times New Roman" w:hAnsi="Arial Narrow" w:cs="Times New Roman"/>
          <w:lang w:val="sr-Latn-ME"/>
        </w:rPr>
        <w:lastRenderedPageBreak/>
        <w:t>Osim toga, treba imati u vidu da postojanje mobinga i diskriminacije predstavlja pravno pitanje, te da tužilja nije učinila vjerovatnim (relevantnim dokazima) da su, u konkretnom slučaju, nad njom, kao ženom i zaposlenom kod tužene prvog reda vršeni mobing i diskriminacija, u periodu od 27. oktobra 2017. do 05. jula 2018. godine, (na način bliže predstavljen izrekom prvostepene presude), pa kod takvog stanja stvari, i po mišljenju ovog suda, nema osnova za odgovornost tuženih. (…)”</w:t>
      </w:r>
    </w:p>
    <w:p w:rsidR="00D833AB" w:rsidRPr="00D833AB" w:rsidRDefault="00D833AB" w:rsidP="00D833AB">
      <w:pPr>
        <w:spacing w:after="0" w:line="240" w:lineRule="auto"/>
        <w:jc w:val="both"/>
        <w:rPr>
          <w:rFonts w:ascii="Arial Narrow" w:hAnsi="Arial Narrow"/>
          <w:b/>
          <w:lang w:val="sr-Latn-ME"/>
        </w:rPr>
      </w:pPr>
    </w:p>
    <w:p w:rsidR="00D833AB" w:rsidRPr="00D833AB" w:rsidRDefault="00D833AB" w:rsidP="00D833AB">
      <w:pPr>
        <w:spacing w:after="0" w:line="240" w:lineRule="auto"/>
        <w:ind w:firstLine="720"/>
        <w:jc w:val="both"/>
        <w:rPr>
          <w:rFonts w:ascii="Arial Narrow" w:hAnsi="Arial Narrow" w:cs="Arial"/>
          <w:b/>
          <w:sz w:val="26"/>
          <w:szCs w:val="26"/>
          <w:lang w:val="sr-Latn-ME"/>
        </w:rPr>
      </w:pPr>
      <w:r w:rsidRPr="00D833AB">
        <w:rPr>
          <w:rFonts w:ascii="Arial Narrow" w:hAnsi="Arial Narrow" w:cs="Arial"/>
          <w:b/>
          <w:sz w:val="26"/>
          <w:szCs w:val="26"/>
          <w:lang w:val="sr-Latn-ME"/>
        </w:rPr>
        <w:t>Pokretanje krivičnog postupka protiv podnositeljke ustavne žalbe i odbacivanje krivične prijave</w:t>
      </w:r>
    </w:p>
    <w:p w:rsidR="00D833AB" w:rsidRPr="00D833AB" w:rsidRDefault="00D833AB" w:rsidP="00D833AB">
      <w:pPr>
        <w:spacing w:after="0" w:line="240" w:lineRule="auto"/>
        <w:ind w:firstLine="720"/>
        <w:jc w:val="both"/>
        <w:rPr>
          <w:rFonts w:ascii="Arial Narrow" w:hAnsi="Arial Narrow" w:cs="Arial"/>
          <w:b/>
          <w:sz w:val="26"/>
          <w:szCs w:val="26"/>
          <w:lang w:val="sr-Latn-ME"/>
        </w:rPr>
      </w:pPr>
    </w:p>
    <w:p w:rsidR="00D833AB" w:rsidRPr="00D833AB" w:rsidRDefault="00D833AB" w:rsidP="00D833AB">
      <w:pPr>
        <w:spacing w:after="0" w:line="240" w:lineRule="auto"/>
        <w:ind w:firstLine="720"/>
        <w:jc w:val="both"/>
        <w:rPr>
          <w:rFonts w:ascii="Arial Narrow" w:hAnsi="Arial Narrow" w:cs="Arial"/>
          <w:sz w:val="26"/>
          <w:szCs w:val="26"/>
          <w:lang w:val="sr-Latn-ME"/>
        </w:rPr>
      </w:pPr>
      <w:r w:rsidRPr="00D833AB">
        <w:rPr>
          <w:rFonts w:ascii="Arial Narrow" w:hAnsi="Arial Narrow" w:cs="Arial"/>
          <w:b/>
          <w:sz w:val="26"/>
          <w:szCs w:val="26"/>
          <w:lang w:val="sr-Latn-ME"/>
        </w:rPr>
        <w:t xml:space="preserve">9.  </w:t>
      </w:r>
      <w:r w:rsidRPr="00D833AB">
        <w:rPr>
          <w:rFonts w:ascii="Arial Narrow" w:hAnsi="Arial Narrow" w:cs="Arial"/>
          <w:sz w:val="26"/>
          <w:szCs w:val="26"/>
          <w:lang w:val="sr-Latn-ME"/>
        </w:rPr>
        <w:t>Dana 24. maja 2018. godine</w:t>
      </w:r>
      <w:r w:rsidRPr="00D833AB">
        <w:rPr>
          <w:rFonts w:ascii="Arial Narrow" w:hAnsi="Arial Narrow" w:cs="Arial"/>
          <w:b/>
          <w:sz w:val="26"/>
          <w:szCs w:val="26"/>
          <w:lang w:val="sr-Latn-ME"/>
        </w:rPr>
        <w:t xml:space="preserve"> </w:t>
      </w:r>
      <w:r w:rsidRPr="00D833AB">
        <w:rPr>
          <w:rFonts w:ascii="Arial Narrow" w:hAnsi="Arial Narrow" w:cs="Arial"/>
          <w:sz w:val="26"/>
          <w:szCs w:val="26"/>
          <w:lang w:val="sr-Latn-ME"/>
        </w:rPr>
        <w:t>Centralna banka Crne Gore je Osnovnom državnom tužilaštvu u Podgorici, podnijela krivičnu prijavu protiv podnositeljke, zbog postojanja  osnovane sumnje da je učinila krivično djelo odavanje poslovne tajne iz odredbe člana 280 stav 1 Krivičnog zakonika Crne Gore</w:t>
      </w:r>
    </w:p>
    <w:p w:rsidR="00D833AB" w:rsidRPr="00D833AB" w:rsidRDefault="00D833AB" w:rsidP="00D833AB">
      <w:pPr>
        <w:spacing w:after="0" w:line="240" w:lineRule="auto"/>
        <w:ind w:right="-360" w:firstLine="720"/>
        <w:jc w:val="both"/>
        <w:rPr>
          <w:rFonts w:ascii="Arial Narrow" w:hAnsi="Arial Narrow" w:cs="Arial"/>
          <w:sz w:val="26"/>
          <w:szCs w:val="26"/>
          <w:lang w:val="sr-Latn-ME"/>
        </w:rPr>
      </w:pPr>
    </w:p>
    <w:p w:rsidR="00D833AB" w:rsidRPr="00D833AB" w:rsidRDefault="00D833AB" w:rsidP="00D833AB">
      <w:pPr>
        <w:spacing w:after="0" w:line="240" w:lineRule="auto"/>
        <w:ind w:firstLine="720"/>
        <w:jc w:val="both"/>
        <w:rPr>
          <w:rFonts w:ascii="Arial Narrow" w:hAnsi="Arial Narrow" w:cs="Arial"/>
          <w:sz w:val="26"/>
          <w:szCs w:val="26"/>
          <w:lang w:val="sr-Latn-ME"/>
        </w:rPr>
      </w:pPr>
      <w:r w:rsidRPr="00D833AB">
        <w:rPr>
          <w:rFonts w:ascii="Arial Narrow" w:hAnsi="Arial Narrow" w:cs="Arial"/>
          <w:b/>
          <w:sz w:val="26"/>
          <w:szCs w:val="26"/>
          <w:lang w:val="sr-Latn-ME"/>
        </w:rPr>
        <w:t>10.</w:t>
      </w:r>
      <w:r w:rsidRPr="00D833AB">
        <w:rPr>
          <w:rFonts w:ascii="Arial Narrow" w:hAnsi="Arial Narrow" w:cs="Arial"/>
          <w:sz w:val="26"/>
          <w:szCs w:val="26"/>
          <w:lang w:val="sr-Latn-ME"/>
        </w:rPr>
        <w:t xml:space="preserve"> Činjenično se podnositeljki ustavne žalbe stavilo na teret da je neovlašćeno učinila drugom dostupnim podatke koji predstavljaju poslovnu tajnu, jer je u upravo u predmetnom postupku uz tužbu podnijela i Plan rada Sektora za kontrolu pružanja finansijskih usluga, koji sadrži terminski plan kontrole banaka, a koji shodno Pravilniku o tajnosti Centralne banke, predstavlja tajni dokument, čime je Centralnoj banci nanijela štetu.</w:t>
      </w:r>
    </w:p>
    <w:p w:rsidR="00D833AB" w:rsidRPr="00D833AB" w:rsidRDefault="00D833AB" w:rsidP="00D833AB">
      <w:pPr>
        <w:spacing w:after="0" w:line="240" w:lineRule="auto"/>
        <w:jc w:val="both"/>
        <w:rPr>
          <w:rFonts w:ascii="Arial Narrow" w:hAnsi="Arial Narrow" w:cs="Arial"/>
          <w:sz w:val="26"/>
          <w:szCs w:val="26"/>
          <w:lang w:val="sr-Latn-ME"/>
        </w:rPr>
      </w:pPr>
    </w:p>
    <w:p w:rsidR="00D833AB" w:rsidRPr="00D833AB" w:rsidRDefault="00D833AB" w:rsidP="00D833AB">
      <w:pPr>
        <w:spacing w:after="0" w:line="240" w:lineRule="auto"/>
        <w:jc w:val="both"/>
        <w:rPr>
          <w:rFonts w:ascii="Arial Narrow" w:hAnsi="Arial Narrow" w:cs="Arial"/>
          <w:sz w:val="26"/>
          <w:szCs w:val="26"/>
          <w:lang w:val="sr-Latn-ME"/>
        </w:rPr>
      </w:pPr>
      <w:r w:rsidRPr="00D833AB">
        <w:rPr>
          <w:rFonts w:ascii="Arial Narrow" w:hAnsi="Arial Narrow" w:cs="Arial"/>
          <w:b/>
          <w:sz w:val="26"/>
          <w:szCs w:val="26"/>
          <w:lang w:val="sr-Latn-ME"/>
        </w:rPr>
        <w:tab/>
        <w:t>11.</w:t>
      </w:r>
      <w:r w:rsidRPr="00D833AB">
        <w:rPr>
          <w:rFonts w:ascii="Arial Narrow" w:hAnsi="Arial Narrow" w:cs="Arial"/>
          <w:sz w:val="26"/>
          <w:szCs w:val="26"/>
          <w:lang w:val="sr-Latn-ME"/>
        </w:rPr>
        <w:t xml:space="preserve"> Rješenjem Osnovnog državnog tužilaštva u Podgorici, </w:t>
      </w:r>
      <w:r w:rsidRPr="00D833AB">
        <w:rPr>
          <w:rFonts w:ascii="Arial Narrow" w:hAnsi="Arial Narrow"/>
          <w:sz w:val="26"/>
          <w:szCs w:val="26"/>
          <w:lang w:val="sr-Latn-ME"/>
        </w:rPr>
        <w:t xml:space="preserve">Kt. br. 913/18 od 27. decembra 2018. godine </w:t>
      </w:r>
      <w:r w:rsidRPr="00D833AB">
        <w:rPr>
          <w:rFonts w:ascii="Arial Narrow" w:hAnsi="Arial Narrow" w:cs="Arial"/>
          <w:sz w:val="26"/>
          <w:szCs w:val="26"/>
          <w:lang w:val="sr-Latn-ME"/>
        </w:rPr>
        <w:t>odbačena je navedena krivična prijava, jer prijavljeno djelo nije krivično djelo odavanja poslovne tajne iz odredbe člana 280 stav 1 Krivičnog zakonika Crne Gore.</w:t>
      </w:r>
    </w:p>
    <w:p w:rsidR="00D833AB" w:rsidRPr="00D833AB" w:rsidRDefault="00D833AB" w:rsidP="00D833AB">
      <w:pPr>
        <w:spacing w:after="0" w:line="240" w:lineRule="auto"/>
        <w:jc w:val="both"/>
        <w:rPr>
          <w:rFonts w:ascii="Arial Narrow" w:hAnsi="Arial Narrow" w:cs="Arial"/>
          <w:sz w:val="26"/>
          <w:szCs w:val="26"/>
          <w:lang w:val="sr-Latn-ME"/>
        </w:rPr>
      </w:pPr>
    </w:p>
    <w:p w:rsidR="00D833AB" w:rsidRPr="00D833AB" w:rsidRDefault="00D833AB" w:rsidP="00D833AB">
      <w:pPr>
        <w:spacing w:after="0" w:line="240" w:lineRule="auto"/>
        <w:ind w:firstLine="720"/>
        <w:jc w:val="both"/>
        <w:rPr>
          <w:rFonts w:ascii="Arial Narrow" w:eastAsia="Times New Roman" w:hAnsi="Arial Narrow" w:cs="Times New Roman"/>
          <w:color w:val="000000"/>
          <w:sz w:val="26"/>
          <w:szCs w:val="26"/>
          <w:lang w:val="sr-Latn-ME"/>
        </w:rPr>
      </w:pPr>
      <w:r w:rsidRPr="00D833AB">
        <w:rPr>
          <w:rFonts w:ascii="Arial Narrow" w:hAnsi="Arial Narrow" w:cs="Arial"/>
          <w:b/>
          <w:sz w:val="26"/>
          <w:szCs w:val="26"/>
          <w:lang w:val="sr-Latn-ME"/>
        </w:rPr>
        <w:t>12.</w:t>
      </w:r>
      <w:r w:rsidRPr="00D833AB">
        <w:rPr>
          <w:rFonts w:ascii="Arial Narrow" w:hAnsi="Arial Narrow" w:cs="Arial"/>
          <w:sz w:val="26"/>
          <w:szCs w:val="26"/>
          <w:lang w:val="sr-Latn-ME"/>
        </w:rPr>
        <w:t xml:space="preserve"> </w:t>
      </w:r>
      <w:r w:rsidRPr="00D833AB">
        <w:rPr>
          <w:rFonts w:ascii="Arial Narrow" w:eastAsia="Times New Roman" w:hAnsi="Arial Narrow" w:cs="Times New Roman"/>
          <w:color w:val="000000"/>
          <w:sz w:val="26"/>
          <w:szCs w:val="26"/>
          <w:lang w:val="sr-Latn-ME"/>
        </w:rPr>
        <w:t xml:space="preserve">Odlukom Skupštine Crne Gore, broj 00-74/18-19/1 EPA 488 XXVI, od 5. jula 2018. godine, na osnovu predloga Savjeta Centalne banke Crne Gore, za razrješenje zbog ozbiljnih propusta u obavljanju funkcije, podnositeljka ustavne žalbe razriješena je dužnosti viceguvernera Centralne banke Crne Gore prije isteka mandata. Odlukom Ustavnog suda Crne Gore U – III br. 313/21 od 26. decembra 2023. godine usvojena je ustavna žalba podnositeljke i </w:t>
      </w:r>
      <w:r w:rsidRPr="00D833AB">
        <w:rPr>
          <w:rFonts w:ascii="Arial Narrow" w:eastAsia="Times New Roman" w:hAnsi="Arial Narrow" w:cs="Times New Roman"/>
          <w:bCs/>
          <w:color w:val="000000"/>
          <w:sz w:val="26"/>
          <w:szCs w:val="26"/>
          <w:lang w:val="sr-Latn-ME"/>
        </w:rPr>
        <w:t>ukinuto</w:t>
      </w:r>
      <w:r w:rsidRPr="00D833AB">
        <w:rPr>
          <w:rFonts w:ascii="Arial Narrow" w:eastAsia="Times New Roman" w:hAnsi="Arial Narrow" w:cs="Times New Roman"/>
          <w:color w:val="000000"/>
          <w:sz w:val="26"/>
          <w:szCs w:val="26"/>
          <w:lang w:val="sr-Latn-ME"/>
        </w:rPr>
        <w:t xml:space="preserve"> rješenje Vrhovnog suda Crne Gore, Rev. br. 310/20, od 1. decembra 2020. godine i predmet vratio tom sudu na ponovni postupak i odlučivanje.</w:t>
      </w:r>
      <w:r w:rsidRPr="00D833AB">
        <w:rPr>
          <w:rFonts w:ascii="Arial" w:hAnsi="Arial" w:cs="Arial"/>
          <w:b/>
          <w:bCs/>
          <w:color w:val="000000"/>
          <w:shd w:val="clear" w:color="auto" w:fill="FFFFFF"/>
          <w:lang w:val="sr-Latn-ME"/>
        </w:rPr>
        <w:t xml:space="preserve"> </w:t>
      </w:r>
      <w:r w:rsidRPr="00D833AB">
        <w:rPr>
          <w:rFonts w:ascii="Arial Narrow" w:hAnsi="Arial Narrow" w:cs="Arial"/>
          <w:color w:val="000000"/>
          <w:sz w:val="26"/>
          <w:szCs w:val="26"/>
          <w:shd w:val="clear" w:color="auto" w:fill="FFFFFF"/>
          <w:lang w:val="sr-Latn-ME"/>
        </w:rPr>
        <w:t xml:space="preserve">Poštujući pravne razloge izražene u Odluci U-III br. 313/21, od </w:t>
      </w:r>
      <w:r w:rsidRPr="00D833AB">
        <w:rPr>
          <w:rFonts w:ascii="Arial Narrow" w:eastAsia="Times New Roman" w:hAnsi="Arial Narrow" w:cs="Times New Roman"/>
          <w:color w:val="000000"/>
          <w:sz w:val="26"/>
          <w:szCs w:val="26"/>
          <w:lang w:val="sr-Latn-ME"/>
        </w:rPr>
        <w:t xml:space="preserve">26. decembra 2023. godine, Vrhovni sud je donio rješenje Už. Rev. br. 5/24 od 21. marta 2023. godine </w:t>
      </w:r>
      <w:r w:rsidRPr="00D833AB">
        <w:rPr>
          <w:rFonts w:ascii="Arial Narrow" w:hAnsi="Arial Narrow" w:cs="Arial"/>
          <w:color w:val="000000"/>
          <w:sz w:val="26"/>
          <w:szCs w:val="26"/>
          <w:shd w:val="clear" w:color="auto" w:fill="FFFFFF"/>
          <w:lang w:val="sr-Latn-ME"/>
        </w:rPr>
        <w:t>kojim je ukinuto rješenje Višeg suda u Podgorici Gž.br.5829/19, od 29. novembra 2019. godine i predmet vraćen drugostepenom sudu na ponovni postupak.</w:t>
      </w:r>
    </w:p>
    <w:p w:rsidR="00D833AB" w:rsidRPr="00D833AB" w:rsidRDefault="00D833AB" w:rsidP="00D833AB">
      <w:pPr>
        <w:spacing w:after="0" w:line="240" w:lineRule="auto"/>
        <w:jc w:val="both"/>
        <w:rPr>
          <w:rFonts w:ascii="Arial Narrow" w:hAnsi="Arial Narrow" w:cs="Arial"/>
          <w:sz w:val="26"/>
          <w:szCs w:val="26"/>
          <w:lang w:val="sr-Latn-ME"/>
        </w:rPr>
      </w:pPr>
    </w:p>
    <w:p w:rsidR="00D833AB" w:rsidRPr="00D833AB" w:rsidRDefault="00D833AB" w:rsidP="00D833AB">
      <w:pPr>
        <w:spacing w:after="0" w:line="240" w:lineRule="auto"/>
        <w:ind w:firstLine="720"/>
        <w:jc w:val="both"/>
        <w:rPr>
          <w:rFonts w:ascii="Arial Narrow" w:hAnsi="Arial Narrow"/>
          <w:b/>
          <w:lang w:val="sr-Latn-ME"/>
        </w:rPr>
      </w:pPr>
      <w:r w:rsidRPr="00D833AB">
        <w:rPr>
          <w:rFonts w:ascii="Arial Narrow" w:hAnsi="Arial Narrow" w:cs="Arial"/>
          <w:b/>
          <w:sz w:val="26"/>
          <w:szCs w:val="26"/>
          <w:lang w:val="sr-Latn-ME"/>
        </w:rPr>
        <w:t>III  RELEVANTNE NORME</w:t>
      </w:r>
    </w:p>
    <w:p w:rsidR="00D833AB" w:rsidRPr="00D833AB" w:rsidRDefault="00D833AB" w:rsidP="00D833AB">
      <w:pPr>
        <w:spacing w:after="0" w:line="240" w:lineRule="auto"/>
        <w:ind w:right="-360"/>
        <w:jc w:val="center"/>
        <w:rPr>
          <w:rFonts w:ascii="Arial Narrow" w:hAnsi="Arial Narrow"/>
          <w:lang w:val="sr-Latn-ME"/>
        </w:rPr>
      </w:pPr>
    </w:p>
    <w:p w:rsidR="00D833AB" w:rsidRPr="00D833AB" w:rsidRDefault="00D833AB" w:rsidP="00D833AB">
      <w:pPr>
        <w:spacing w:after="0" w:line="240" w:lineRule="auto"/>
        <w:ind w:right="-360"/>
        <w:jc w:val="both"/>
        <w:rPr>
          <w:rFonts w:ascii="Arial Narrow" w:eastAsia="Calibri" w:hAnsi="Arial Narrow" w:cs="Calibri"/>
          <w:iCs/>
          <w:lang w:val="sr-Latn-ME"/>
        </w:rPr>
      </w:pPr>
      <w:r w:rsidRPr="00D833AB">
        <w:rPr>
          <w:rFonts w:ascii="Arial Narrow" w:hAnsi="Arial Narrow" w:cs="Arial"/>
          <w:b/>
          <w:sz w:val="26"/>
          <w:szCs w:val="26"/>
          <w:lang w:val="sr-Latn-ME"/>
        </w:rPr>
        <w:tab/>
        <w:t>Ustav Crne Gore</w:t>
      </w:r>
    </w:p>
    <w:p w:rsidR="00D833AB" w:rsidRPr="00D833AB" w:rsidRDefault="00D833AB" w:rsidP="00D833AB">
      <w:pPr>
        <w:spacing w:after="0" w:line="240" w:lineRule="auto"/>
        <w:ind w:right="-360"/>
        <w:jc w:val="center"/>
        <w:rPr>
          <w:rFonts w:ascii="Arial Narrow" w:eastAsia="Calibri" w:hAnsi="Arial Narrow" w:cs="Calibri"/>
          <w:iCs/>
          <w:lang w:val="sr-Latn-ME"/>
        </w:rPr>
      </w:pPr>
      <w:r w:rsidRPr="00D833AB">
        <w:rPr>
          <w:rFonts w:ascii="Arial Narrow" w:eastAsia="Times New Roman" w:hAnsi="Arial Narrow" w:cs="Arial"/>
          <w:b/>
          <w:lang w:val="sr-Latn-ME"/>
        </w:rPr>
        <w:t>Član 28</w:t>
      </w:r>
    </w:p>
    <w:p w:rsidR="00D833AB" w:rsidRPr="00D833AB" w:rsidRDefault="00D833AB" w:rsidP="00D833AB">
      <w:pPr>
        <w:spacing w:after="0" w:line="240" w:lineRule="auto"/>
        <w:ind w:left="150" w:right="-83" w:firstLine="24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ab/>
        <w:t>Jemči se dostojanstvo i sigurnost čovjeka.</w:t>
      </w:r>
    </w:p>
    <w:p w:rsidR="00D833AB" w:rsidRPr="00D833AB" w:rsidRDefault="00D833AB" w:rsidP="00D833AB">
      <w:pPr>
        <w:spacing w:after="0" w:line="240" w:lineRule="auto"/>
        <w:ind w:left="150" w:right="-83" w:firstLine="24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ab/>
        <w:t>Jemči se nepovredivost fizičkog i psihičkog integriteta čovjeka, njegove privatnosti i ličnih prava.</w:t>
      </w:r>
    </w:p>
    <w:p w:rsidR="00D833AB" w:rsidRPr="00D833AB" w:rsidRDefault="00D833AB" w:rsidP="00D833AB">
      <w:pPr>
        <w:spacing w:after="0" w:line="240" w:lineRule="auto"/>
        <w:ind w:left="150" w:right="-83" w:firstLine="24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ab/>
        <w:t>Niko ne smije biti podvrgnut mučenju ili nečovječnom ili ponižavajućem postupanju.</w:t>
      </w:r>
    </w:p>
    <w:p w:rsidR="00D833AB" w:rsidRPr="00D833AB" w:rsidRDefault="00D833AB" w:rsidP="00D833AB">
      <w:pPr>
        <w:spacing w:after="0" w:line="240" w:lineRule="auto"/>
        <w:ind w:left="150" w:right="-83" w:firstLine="24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ab/>
        <w:t>Niko se ne smije držati u ropstvu ili ropskom položaju.</w:t>
      </w:r>
    </w:p>
    <w:p w:rsidR="00D833AB" w:rsidRPr="00D833AB" w:rsidRDefault="00D833AB" w:rsidP="00D833AB">
      <w:pPr>
        <w:spacing w:after="0" w:line="240" w:lineRule="auto"/>
        <w:ind w:left="150" w:right="-83" w:firstLine="240"/>
        <w:jc w:val="both"/>
        <w:rPr>
          <w:rFonts w:ascii="Arial Narrow" w:eastAsia="Times New Roman" w:hAnsi="Arial Narrow" w:cs="Tahoma"/>
          <w:color w:val="000000"/>
          <w:lang w:val="sr-Latn-ME"/>
        </w:rPr>
      </w:pPr>
    </w:p>
    <w:p w:rsidR="00D833AB" w:rsidRPr="00D833AB" w:rsidRDefault="00D833AB" w:rsidP="00D833AB">
      <w:pPr>
        <w:spacing w:after="0" w:line="240" w:lineRule="auto"/>
        <w:ind w:right="-360" w:firstLine="720"/>
        <w:jc w:val="both"/>
        <w:rPr>
          <w:rFonts w:ascii="Arial Narrow" w:eastAsia="Times New Roman" w:hAnsi="Arial Narrow" w:cs="Arial"/>
          <w:b/>
          <w:sz w:val="26"/>
          <w:szCs w:val="26"/>
          <w:lang w:val="sr-Latn-ME"/>
        </w:rPr>
      </w:pPr>
      <w:r w:rsidRPr="00D833AB">
        <w:rPr>
          <w:rFonts w:ascii="Arial Narrow" w:eastAsia="Times New Roman" w:hAnsi="Arial Narrow" w:cs="Arial"/>
          <w:b/>
          <w:sz w:val="26"/>
          <w:szCs w:val="26"/>
          <w:lang w:val="sr-Latn-ME"/>
        </w:rPr>
        <w:t>Evropska konvencija za zaštitu ljudskih prava i osnovnih sloboda</w:t>
      </w:r>
    </w:p>
    <w:p w:rsidR="00D833AB" w:rsidRPr="00D833AB" w:rsidRDefault="00D833AB" w:rsidP="00D833AB">
      <w:pPr>
        <w:spacing w:after="0" w:line="240" w:lineRule="auto"/>
        <w:ind w:right="-360"/>
        <w:jc w:val="both"/>
        <w:rPr>
          <w:rFonts w:ascii="Arial Narrow" w:eastAsia="Calibri" w:hAnsi="Arial Narrow" w:cs="Calibri"/>
          <w:lang w:val="sr-Latn-ME"/>
        </w:rPr>
      </w:pPr>
    </w:p>
    <w:p w:rsidR="00D833AB" w:rsidRPr="00D833AB" w:rsidRDefault="00D833AB" w:rsidP="00D833AB">
      <w:pPr>
        <w:spacing w:after="0" w:line="240" w:lineRule="auto"/>
        <w:ind w:right="-360"/>
        <w:jc w:val="center"/>
        <w:rPr>
          <w:rFonts w:ascii="Arial Narrow" w:eastAsia="Calibri" w:hAnsi="Arial Narrow" w:cs="Calibri"/>
          <w:lang w:val="sr-Latn-ME"/>
        </w:rPr>
      </w:pPr>
      <w:r w:rsidRPr="00D833AB">
        <w:rPr>
          <w:rFonts w:ascii="Arial Narrow" w:eastAsia="Calibri" w:hAnsi="Arial Narrow" w:cs="Calibri"/>
          <w:b/>
          <w:lang w:val="sr-Latn-ME"/>
        </w:rPr>
        <w:t>Član 8</w:t>
      </w:r>
    </w:p>
    <w:p w:rsidR="00D833AB" w:rsidRPr="00D833AB" w:rsidRDefault="00D833AB" w:rsidP="00D833AB">
      <w:pPr>
        <w:spacing w:after="0" w:line="240" w:lineRule="auto"/>
        <w:ind w:right="-83"/>
        <w:jc w:val="both"/>
        <w:rPr>
          <w:rFonts w:ascii="Arial Narrow" w:eastAsia="Times New Roman" w:hAnsi="Arial Narrow" w:cs="Arial"/>
          <w:lang w:val="sr-Latn-ME"/>
        </w:rPr>
      </w:pPr>
      <w:r w:rsidRPr="00D833AB">
        <w:rPr>
          <w:rFonts w:ascii="Arial Narrow" w:eastAsia="Times New Roman" w:hAnsi="Arial Narrow" w:cs="Arial"/>
          <w:lang w:val="sr-Latn-ME"/>
        </w:rPr>
        <w:tab/>
        <w:t>Svako ima pravo na poštovanje svog privatnog i porodičnog života, doma i prepiske.</w:t>
      </w:r>
    </w:p>
    <w:p w:rsidR="00D833AB" w:rsidRPr="00D833AB" w:rsidRDefault="00D833AB" w:rsidP="00D833AB">
      <w:pPr>
        <w:spacing w:after="0" w:line="240" w:lineRule="auto"/>
        <w:ind w:right="-83"/>
        <w:jc w:val="both"/>
        <w:rPr>
          <w:rFonts w:ascii="Arial Narrow" w:hAnsi="Arial Narrow"/>
          <w:lang w:val="sr-Latn-ME"/>
        </w:rPr>
      </w:pPr>
      <w:r w:rsidRPr="00D833AB">
        <w:rPr>
          <w:rFonts w:ascii="Arial Narrow" w:hAnsi="Arial Narrow"/>
          <w:lang w:val="sr-Latn-ME"/>
        </w:rPr>
        <w:lastRenderedPageBreak/>
        <w:tab/>
        <w:t>Javne vlasti neće se miješati u vršenje ovog prava sem ako to nije u skladu sa zakonom i neophodno u demokratskom društvu u interesu nacionalne bezbjednosti, javne bezbjednosti ili ekonomske dobrotibi zemlje, radi sprečavanja nereda ili kriminala, zaštite zdravlja ili morala, ili radi zaštite prava i sloboda drugih.</w:t>
      </w:r>
    </w:p>
    <w:p w:rsidR="00D833AB" w:rsidRPr="00D833AB" w:rsidRDefault="00D833AB" w:rsidP="00D833AB">
      <w:pPr>
        <w:spacing w:after="0" w:line="240" w:lineRule="auto"/>
        <w:ind w:right="-83"/>
        <w:jc w:val="both"/>
        <w:rPr>
          <w:rFonts w:ascii="Arial Narrow" w:hAnsi="Arial Narrow"/>
          <w:lang w:val="sr-Latn-ME"/>
        </w:rPr>
      </w:pPr>
    </w:p>
    <w:p w:rsidR="00D833AB" w:rsidRPr="00D833AB" w:rsidRDefault="00D833AB" w:rsidP="00D833AB">
      <w:pPr>
        <w:spacing w:after="0" w:line="240" w:lineRule="auto"/>
        <w:ind w:firstLine="720"/>
        <w:jc w:val="both"/>
        <w:rPr>
          <w:rFonts w:ascii="Arial Narrow" w:hAnsi="Arial Narrow"/>
          <w:sz w:val="26"/>
          <w:szCs w:val="26"/>
          <w:lang w:val="sr-Latn-ME"/>
        </w:rPr>
      </w:pPr>
      <w:r w:rsidRPr="00D833AB">
        <w:rPr>
          <w:rFonts w:ascii="Arial Narrow" w:hAnsi="Arial Narrow" w:cs="Tahoma"/>
          <w:b/>
          <w:color w:val="000000" w:themeColor="text1"/>
          <w:sz w:val="26"/>
          <w:szCs w:val="26"/>
          <w:lang w:val="sr-Latn-ME"/>
        </w:rPr>
        <w:t xml:space="preserve">Zakon o radu </w:t>
      </w:r>
      <w:r w:rsidRPr="00D833AB">
        <w:rPr>
          <w:rFonts w:ascii="Arial Narrow" w:hAnsi="Arial Narrow" w:cs="Tahoma"/>
          <w:color w:val="000000" w:themeColor="text1"/>
          <w:sz w:val="26"/>
          <w:szCs w:val="26"/>
          <w:lang w:val="sr-Latn-ME"/>
        </w:rPr>
        <w:t xml:space="preserve">("Službeni list CG", br. </w:t>
      </w:r>
      <w:r w:rsidRPr="00D833AB">
        <w:rPr>
          <w:lang w:val="sr-Latn-ME"/>
        </w:rPr>
        <w:fldChar w:fldCharType="begin"/>
      </w:r>
      <w:r w:rsidRPr="00D833AB">
        <w:rPr>
          <w:lang w:val="sr-Latn-ME"/>
        </w:rPr>
        <w:instrText xml:space="preserve"> HYPERLINK "javascript:void(0)" </w:instrText>
      </w:r>
      <w:r w:rsidRPr="00D833AB">
        <w:rPr>
          <w:lang w:val="sr-Latn-ME"/>
        </w:rPr>
        <w:fldChar w:fldCharType="separate"/>
      </w:r>
      <w:r w:rsidRPr="00D833AB">
        <w:rPr>
          <w:rFonts w:ascii="Arial Narrow" w:hAnsi="Arial Narrow" w:cs="Tahoma"/>
          <w:color w:val="000000" w:themeColor="text1"/>
          <w:sz w:val="26"/>
          <w:szCs w:val="26"/>
          <w:lang w:val="sr-Latn-ME"/>
        </w:rPr>
        <w:t>49/2008</w:t>
      </w:r>
      <w:r w:rsidRPr="00D833AB">
        <w:rPr>
          <w:rFonts w:ascii="Arial Narrow" w:hAnsi="Arial Narrow" w:cs="Tahoma"/>
          <w:color w:val="000000" w:themeColor="text1"/>
          <w:sz w:val="26"/>
          <w:szCs w:val="26"/>
          <w:lang w:val="sr-Latn-ME"/>
        </w:rPr>
        <w:fldChar w:fldCharType="end"/>
      </w:r>
      <w:r w:rsidRPr="00D833AB">
        <w:rPr>
          <w:rFonts w:ascii="Arial Narrow" w:hAnsi="Arial Narrow" w:cs="Tahoma"/>
          <w:color w:val="000000" w:themeColor="text1"/>
          <w:sz w:val="26"/>
          <w:szCs w:val="26"/>
          <w:lang w:val="sr-Latn-ME"/>
        </w:rPr>
        <w:t xml:space="preserve">, </w:t>
      </w:r>
      <w:hyperlink r:id="rId8" w:history="1">
        <w:r w:rsidRPr="00D833AB">
          <w:rPr>
            <w:rFonts w:ascii="Arial Narrow" w:hAnsi="Arial Narrow" w:cs="Tahoma"/>
            <w:color w:val="000000" w:themeColor="text1"/>
            <w:sz w:val="26"/>
            <w:szCs w:val="26"/>
            <w:lang w:val="sr-Latn-ME"/>
          </w:rPr>
          <w:t>26/2009</w:t>
        </w:r>
      </w:hyperlink>
      <w:r w:rsidRPr="00D833AB">
        <w:rPr>
          <w:rFonts w:ascii="Arial Narrow" w:hAnsi="Arial Narrow" w:cs="Tahoma"/>
          <w:color w:val="000000" w:themeColor="text1"/>
          <w:sz w:val="26"/>
          <w:szCs w:val="26"/>
          <w:lang w:val="sr-Latn-ME"/>
        </w:rPr>
        <w:t xml:space="preserve">, </w:t>
      </w:r>
      <w:hyperlink r:id="rId9" w:history="1">
        <w:r w:rsidRPr="00D833AB">
          <w:rPr>
            <w:rFonts w:ascii="Arial Narrow" w:hAnsi="Arial Narrow" w:cs="Tahoma"/>
            <w:color w:val="000000" w:themeColor="text1"/>
            <w:sz w:val="26"/>
            <w:szCs w:val="26"/>
            <w:lang w:val="sr-Latn-ME"/>
          </w:rPr>
          <w:t>59/2011</w:t>
        </w:r>
      </w:hyperlink>
      <w:r w:rsidRPr="00D833AB">
        <w:rPr>
          <w:rFonts w:ascii="Arial Narrow" w:hAnsi="Arial Narrow" w:cs="Tahoma"/>
          <w:color w:val="000000" w:themeColor="text1"/>
          <w:sz w:val="26"/>
          <w:szCs w:val="26"/>
          <w:lang w:val="sr-Latn-ME"/>
        </w:rPr>
        <w:t xml:space="preserve">, </w:t>
      </w:r>
      <w:hyperlink r:id="rId10" w:history="1">
        <w:r w:rsidRPr="00D833AB">
          <w:rPr>
            <w:rFonts w:ascii="Arial Narrow" w:hAnsi="Arial Narrow" w:cs="Tahoma"/>
            <w:color w:val="000000" w:themeColor="text1"/>
            <w:sz w:val="26"/>
            <w:szCs w:val="26"/>
            <w:lang w:val="sr-Latn-ME"/>
          </w:rPr>
          <w:t>66/2012</w:t>
        </w:r>
      </w:hyperlink>
      <w:r w:rsidRPr="00D833AB">
        <w:rPr>
          <w:rFonts w:ascii="Arial Narrow" w:hAnsi="Arial Narrow" w:cs="Tahoma"/>
          <w:color w:val="000000" w:themeColor="text1"/>
          <w:sz w:val="26"/>
          <w:szCs w:val="26"/>
          <w:lang w:val="sr-Latn-ME"/>
        </w:rPr>
        <w:t xml:space="preserve">, </w:t>
      </w:r>
      <w:hyperlink r:id="rId11" w:history="1">
        <w:r w:rsidRPr="00D833AB">
          <w:rPr>
            <w:rFonts w:ascii="Arial Narrow" w:hAnsi="Arial Narrow" w:cs="Tahoma"/>
            <w:color w:val="000000" w:themeColor="text1"/>
            <w:sz w:val="26"/>
            <w:szCs w:val="26"/>
            <w:lang w:val="sr-Latn-ME"/>
          </w:rPr>
          <w:t>31/2014</w:t>
        </w:r>
      </w:hyperlink>
      <w:r w:rsidRPr="00D833AB">
        <w:rPr>
          <w:rFonts w:ascii="Arial Narrow" w:hAnsi="Arial Narrow" w:cs="Tahoma"/>
          <w:color w:val="000000" w:themeColor="text1"/>
          <w:sz w:val="26"/>
          <w:szCs w:val="26"/>
          <w:lang w:val="sr-Latn-ME"/>
        </w:rPr>
        <w:t>)</w:t>
      </w:r>
    </w:p>
    <w:p w:rsidR="00D833AB" w:rsidRPr="00D833AB" w:rsidRDefault="00D833AB" w:rsidP="00D833AB">
      <w:pPr>
        <w:spacing w:after="0" w:line="240" w:lineRule="auto"/>
        <w:jc w:val="center"/>
        <w:rPr>
          <w:rFonts w:ascii="Arial Narrow" w:eastAsia="Times New Roman" w:hAnsi="Arial Narrow" w:cs="Tahoma"/>
          <w:color w:val="000000" w:themeColor="text1"/>
          <w:lang w:val="sr-Latn-ME"/>
        </w:rPr>
      </w:pPr>
    </w:p>
    <w:p w:rsidR="00D833AB" w:rsidRPr="00D833AB" w:rsidRDefault="00D833AB" w:rsidP="00D833AB">
      <w:pPr>
        <w:spacing w:after="0" w:line="240" w:lineRule="auto"/>
        <w:ind w:right="-83"/>
        <w:jc w:val="center"/>
        <w:rPr>
          <w:rFonts w:ascii="Arial Narrow" w:eastAsia="Times New Roman" w:hAnsi="Arial Narrow" w:cs="Tahoma"/>
          <w:bCs/>
          <w:color w:val="000000"/>
          <w:lang w:val="sr-Latn-ME"/>
        </w:rPr>
      </w:pPr>
      <w:r w:rsidRPr="00D833AB">
        <w:rPr>
          <w:rFonts w:ascii="Arial Narrow" w:eastAsia="Times New Roman" w:hAnsi="Arial Narrow" w:cs="Tahoma"/>
          <w:bCs/>
          <w:color w:val="000000"/>
          <w:lang w:val="sr-Latn-ME"/>
        </w:rPr>
        <w:t>Zlostavljanje na radnom mjestu (mobing)</w:t>
      </w:r>
    </w:p>
    <w:p w:rsidR="00D833AB" w:rsidRPr="00D833AB" w:rsidRDefault="00D833AB" w:rsidP="00D833AB">
      <w:pPr>
        <w:spacing w:after="0" w:line="240" w:lineRule="auto"/>
        <w:ind w:right="-83"/>
        <w:jc w:val="center"/>
        <w:textAlignment w:val="center"/>
        <w:rPr>
          <w:rFonts w:ascii="Arial Narrow" w:eastAsia="Times New Roman" w:hAnsi="Arial Narrow" w:cs="Tahoma"/>
          <w:b/>
          <w:bCs/>
          <w:color w:val="000000"/>
          <w:lang w:val="sr-Latn-ME"/>
        </w:rPr>
      </w:pPr>
      <w:bookmarkStart w:id="0" w:name="clan_8a"/>
      <w:bookmarkEnd w:id="0"/>
      <w:r w:rsidRPr="00D833AB">
        <w:rPr>
          <w:rFonts w:ascii="Arial Narrow" w:eastAsia="Times New Roman" w:hAnsi="Arial Narrow" w:cs="Tahoma"/>
          <w:b/>
          <w:bCs/>
          <w:color w:val="000000"/>
          <w:lang w:val="sr-Latn-ME"/>
        </w:rPr>
        <w:t>Član 8a</w:t>
      </w:r>
    </w:p>
    <w:p w:rsidR="00D833AB" w:rsidRPr="00D833AB" w:rsidRDefault="00D833AB" w:rsidP="00D833AB">
      <w:pPr>
        <w:spacing w:after="0" w:line="240" w:lineRule="auto"/>
        <w:ind w:right="-83" w:firstLine="24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ab/>
        <w:t>(1) Zabranjen je svaki oblik zlostavljanja na radnom mjestu (mobing), odnosno svako ponašanje prema zaposlenom ili grupi zaposlenih kod poslodavca koje se ponavlja, a ima za cilj ili predstavlja povredu dostojanstva, ugleda, ličnog i profesionalnog integriteta, položaja zaposlenog koje izaziva strah ili stvara neprijateljsko, ponižavajuće ili uvredljivo okruženje, pogoršava uslove rada ili dovodi do toga da se zaposleni izoluje ili navede da na sopstvenu inicijativu otkaže ugovor o radu.</w:t>
      </w:r>
    </w:p>
    <w:p w:rsidR="00D833AB" w:rsidRPr="00D833AB" w:rsidRDefault="00D833AB" w:rsidP="00D833AB">
      <w:pPr>
        <w:spacing w:after="0" w:line="240" w:lineRule="auto"/>
        <w:ind w:right="-83" w:firstLine="24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ab/>
        <w:t>(2) Zabrana zlostavljanja na radnom mjestu (mobing), mjere za sprječavanje zlostavljanja, postupak zaštite lica izloženih zlostavljanju, kao i druga pitanja od značaja za sprječavanje i zaštitu od zlostavljanja na radu i u vezi sa radom bliže se uređuje posebnim zakonom.</w:t>
      </w:r>
    </w:p>
    <w:p w:rsidR="00D833AB" w:rsidRPr="00D833AB" w:rsidRDefault="00D833AB" w:rsidP="00D833AB">
      <w:pPr>
        <w:spacing w:after="0" w:line="240" w:lineRule="auto"/>
        <w:ind w:right="-83" w:firstLine="240"/>
        <w:jc w:val="both"/>
        <w:rPr>
          <w:rFonts w:ascii="Arial Narrow" w:eastAsia="Times New Roman" w:hAnsi="Arial Narrow" w:cs="Tahoma"/>
          <w:color w:val="000000"/>
          <w:lang w:val="sr-Latn-ME"/>
        </w:rPr>
      </w:pPr>
    </w:p>
    <w:p w:rsidR="00D833AB" w:rsidRPr="00D833AB" w:rsidRDefault="00D833AB" w:rsidP="00D833AB">
      <w:pPr>
        <w:spacing w:after="0" w:line="240" w:lineRule="auto"/>
        <w:ind w:right="-83" w:firstLine="240"/>
        <w:jc w:val="both"/>
        <w:rPr>
          <w:rFonts w:ascii="Arial Narrow" w:eastAsia="Times New Roman" w:hAnsi="Arial Narrow" w:cs="Tahoma"/>
          <w:color w:val="000000"/>
          <w:sz w:val="26"/>
          <w:szCs w:val="26"/>
          <w:lang w:val="sr-Latn-ME"/>
        </w:rPr>
      </w:pPr>
      <w:r w:rsidRPr="00D833AB">
        <w:rPr>
          <w:rFonts w:ascii="Arial Narrow" w:hAnsi="Arial Narrow"/>
          <w:b/>
          <w:sz w:val="26"/>
          <w:szCs w:val="26"/>
          <w:lang w:val="sr-Latn-ME"/>
        </w:rPr>
        <w:tab/>
        <w:t>Zakon o zabrani zlostavljanja na radu</w:t>
      </w:r>
      <w:r w:rsidRPr="00D833AB">
        <w:rPr>
          <w:rFonts w:ascii="Arial Narrow" w:hAnsi="Arial Narrow"/>
          <w:sz w:val="26"/>
          <w:szCs w:val="26"/>
          <w:lang w:val="sr-Latn-ME"/>
        </w:rPr>
        <w:t xml:space="preserve"> („Službeni list Crne Gore“, br. 30/12 i 54/16)</w:t>
      </w:r>
    </w:p>
    <w:p w:rsidR="00D833AB" w:rsidRPr="00D833AB" w:rsidRDefault="00D833AB" w:rsidP="00D833AB">
      <w:pPr>
        <w:spacing w:after="0" w:line="240" w:lineRule="auto"/>
        <w:ind w:right="-83" w:firstLine="240"/>
        <w:jc w:val="center"/>
        <w:rPr>
          <w:rFonts w:ascii="Arial Narrow" w:eastAsia="Times New Roman" w:hAnsi="Arial Narrow" w:cs="Times New Roman"/>
          <w:lang w:val="sr-Latn-ME"/>
        </w:rPr>
      </w:pPr>
    </w:p>
    <w:p w:rsidR="00D833AB" w:rsidRPr="00D833AB" w:rsidRDefault="00D833AB" w:rsidP="00D833AB">
      <w:pPr>
        <w:spacing w:after="0" w:line="240" w:lineRule="auto"/>
        <w:ind w:right="-83"/>
        <w:jc w:val="center"/>
        <w:rPr>
          <w:rFonts w:ascii="Arial Narrow" w:eastAsia="Times New Roman" w:hAnsi="Arial Narrow" w:cs="Tahoma"/>
          <w:bCs/>
          <w:color w:val="000000"/>
          <w:lang w:val="sr-Latn-ME"/>
        </w:rPr>
      </w:pPr>
      <w:r w:rsidRPr="00D833AB">
        <w:rPr>
          <w:rFonts w:ascii="Arial Narrow" w:eastAsia="Times New Roman" w:hAnsi="Arial Narrow" w:cs="Tahoma"/>
          <w:b/>
          <w:bCs/>
          <w:color w:val="000000"/>
          <w:lang w:val="sr-Latn-ME"/>
        </w:rPr>
        <w:t>Član 2</w:t>
      </w:r>
    </w:p>
    <w:p w:rsidR="00D833AB" w:rsidRPr="00D833AB" w:rsidRDefault="00D833AB" w:rsidP="00D833AB">
      <w:pPr>
        <w:spacing w:after="0" w:line="240" w:lineRule="auto"/>
        <w:ind w:right="-83"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Mobing, u smislu ovog zakona, je svako aktivno ili pasivno ponašanje na radu ili u vezi sa radom prema zaposlenom ili grupi zaposlenih, koje se ponavlja, a koje ima za cilj ili predstavlja povredu dostojanstva, ugleda, ličnog i profesionalnog integriteta zaposlenog i koje izaziva strah ili stvara neprijateljsko, ponižavajuće ili uvredljivo okruženje, pogoršava uslove rada ili dovodi do toga da se zaposleni izoluje ili navede da na sopstvenu inicijativu otkaže ugovor o radu ili drugi ugovor.</w:t>
      </w:r>
    </w:p>
    <w:p w:rsidR="00D833AB" w:rsidRPr="00D833AB" w:rsidRDefault="00D833AB" w:rsidP="00D833AB">
      <w:pPr>
        <w:spacing w:after="0" w:line="240" w:lineRule="auto"/>
        <w:ind w:right="-83"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Mobing je i podsticanje ili navođenje drugih na ponašanje u smislu stava 1 ovog člana.</w:t>
      </w:r>
    </w:p>
    <w:p w:rsidR="00D833AB" w:rsidRPr="00D833AB" w:rsidRDefault="00D833AB" w:rsidP="00D833AB">
      <w:pPr>
        <w:spacing w:after="0" w:line="240" w:lineRule="auto"/>
        <w:ind w:right="-83"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Izvršiocem mobinga smatra se poslodavac sa svojstvom fizičkog lica, odgovorno lice kod poslodavca sa svojstvom pravnog lica, zaposleni ili grupa zaposlenih kod poslodavca ili treće lice sa kojim zaposleni ili poslodavac dolazi u kontakt prilikom obavljanja poslova na radnom mjestu.</w:t>
      </w:r>
    </w:p>
    <w:p w:rsidR="00D833AB" w:rsidRPr="00D833AB" w:rsidRDefault="00D833AB" w:rsidP="00D833AB">
      <w:pPr>
        <w:spacing w:after="0" w:line="240" w:lineRule="auto"/>
        <w:ind w:right="-360" w:firstLine="720"/>
        <w:jc w:val="both"/>
        <w:rPr>
          <w:rFonts w:ascii="Arial Narrow" w:eastAsia="Times New Roman" w:hAnsi="Arial Narrow" w:cs="Tahoma"/>
          <w:color w:val="000000"/>
          <w:lang w:val="sr-Latn-ME"/>
        </w:rPr>
      </w:pPr>
    </w:p>
    <w:p w:rsidR="00D833AB" w:rsidRPr="00D833AB" w:rsidRDefault="00D833AB" w:rsidP="00D833AB">
      <w:pPr>
        <w:spacing w:after="0" w:line="240" w:lineRule="auto"/>
        <w:ind w:right="-83"/>
        <w:jc w:val="center"/>
        <w:rPr>
          <w:rFonts w:ascii="Arial Narrow" w:eastAsia="Times New Roman" w:hAnsi="Arial Narrow" w:cs="Tahoma"/>
          <w:b/>
          <w:bCs/>
          <w:color w:val="000000"/>
          <w:lang w:val="sr-Latn-ME"/>
        </w:rPr>
      </w:pPr>
      <w:bookmarkStart w:id="1" w:name="sadrzaj9"/>
      <w:bookmarkStart w:id="2" w:name="sadrzaj12"/>
      <w:bookmarkEnd w:id="1"/>
      <w:bookmarkEnd w:id="2"/>
      <w:r w:rsidRPr="00D833AB">
        <w:rPr>
          <w:rFonts w:ascii="Arial Narrow" w:eastAsia="Times New Roman" w:hAnsi="Arial Narrow" w:cs="Tahoma"/>
          <w:b/>
          <w:bCs/>
          <w:color w:val="000000"/>
          <w:lang w:val="sr-Latn-ME"/>
        </w:rPr>
        <w:t>Određivanje posrednika</w:t>
      </w:r>
    </w:p>
    <w:p w:rsidR="00D833AB" w:rsidRPr="00D833AB" w:rsidRDefault="00D833AB" w:rsidP="00D833AB">
      <w:pPr>
        <w:spacing w:after="0" w:line="240" w:lineRule="auto"/>
        <w:ind w:right="-83"/>
        <w:jc w:val="center"/>
        <w:textAlignment w:val="center"/>
        <w:rPr>
          <w:rFonts w:ascii="Arial Narrow" w:eastAsia="Times New Roman" w:hAnsi="Arial Narrow" w:cs="Tahoma"/>
          <w:b/>
          <w:bCs/>
          <w:color w:val="000000"/>
          <w:lang w:val="sr-Latn-ME"/>
        </w:rPr>
      </w:pPr>
      <w:bookmarkStart w:id="3" w:name="clan_9"/>
      <w:bookmarkEnd w:id="3"/>
      <w:r w:rsidRPr="00D833AB">
        <w:rPr>
          <w:rFonts w:ascii="Arial Narrow" w:eastAsia="Times New Roman" w:hAnsi="Arial Narrow" w:cs="Tahoma"/>
          <w:b/>
          <w:bCs/>
          <w:color w:val="000000"/>
          <w:lang w:val="sr-Latn-ME"/>
        </w:rPr>
        <w:t>Član 9</w:t>
      </w:r>
    </w:p>
    <w:p w:rsidR="00D833AB" w:rsidRPr="00D833AB" w:rsidRDefault="00D833AB" w:rsidP="00D833AB">
      <w:pPr>
        <w:spacing w:after="0" w:line="240" w:lineRule="auto"/>
        <w:ind w:right="-83"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Poslodavac kod kojeg je u radnom odnosu 30 ili više zaposlenih dužan je da odredi jedno ili više lica koja će posredovati među stranama u slučaju mobinga (u daljem tekstu: posrednik), uz prethodno pribavljeno mišljenje reprezentativnog sindikata, odnosno predstavnika zaposlenih.</w:t>
      </w:r>
    </w:p>
    <w:p w:rsidR="00D833AB" w:rsidRPr="00D833AB" w:rsidRDefault="00D833AB" w:rsidP="00D833AB">
      <w:pPr>
        <w:spacing w:after="0" w:line="240" w:lineRule="auto"/>
        <w:ind w:right="-83"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Kod poslodavca kod kojeg je u radnom odnosu manje od 30 zaposlenih, posrednika sporazumno određuju zaposleni koji je izložen mobingu, zaposleni koji se tereti za mobing i zaposleni kojeg odredi poslodavac, a u slučaju kada se poslodavac tereti za mobing posrednika sporazumno određuju zaposleni koji je izložen mobingu i zaposleni kojeg odredi poslodavac.</w:t>
      </w:r>
    </w:p>
    <w:p w:rsidR="00D833AB" w:rsidRPr="00D833AB" w:rsidRDefault="00D833AB" w:rsidP="00D833AB">
      <w:pPr>
        <w:spacing w:after="0" w:line="240" w:lineRule="auto"/>
        <w:ind w:right="-83"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Posrednik iz st. 1 i 2 ovog člana ne može biti posrednik ako je u postupku posredovanja predložen u svojstvu svjedoka.</w:t>
      </w:r>
    </w:p>
    <w:p w:rsidR="00D833AB" w:rsidRPr="00D833AB" w:rsidRDefault="00D833AB" w:rsidP="00D833AB">
      <w:pPr>
        <w:spacing w:after="0" w:line="240" w:lineRule="auto"/>
        <w:ind w:right="-83"/>
        <w:jc w:val="center"/>
        <w:rPr>
          <w:rFonts w:ascii="Arial Narrow" w:eastAsia="Times New Roman" w:hAnsi="Arial Narrow" w:cs="Tahoma"/>
          <w:b/>
          <w:bCs/>
          <w:color w:val="000000"/>
          <w:lang w:val="sr-Latn-ME"/>
        </w:rPr>
      </w:pPr>
      <w:bookmarkStart w:id="4" w:name="sadrzaj15"/>
      <w:bookmarkStart w:id="5" w:name="sadrzaj16"/>
      <w:bookmarkEnd w:id="4"/>
      <w:bookmarkEnd w:id="5"/>
      <w:r w:rsidRPr="00D833AB">
        <w:rPr>
          <w:rFonts w:ascii="Arial Narrow" w:eastAsia="Times New Roman" w:hAnsi="Arial Narrow" w:cs="Tahoma"/>
          <w:b/>
          <w:bCs/>
          <w:color w:val="000000"/>
          <w:lang w:val="sr-Latn-ME"/>
        </w:rPr>
        <w:t>Zaštita od mobinga</w:t>
      </w:r>
    </w:p>
    <w:p w:rsidR="00D833AB" w:rsidRPr="00D833AB" w:rsidRDefault="00D833AB" w:rsidP="00D833AB">
      <w:pPr>
        <w:spacing w:after="0" w:line="240" w:lineRule="auto"/>
        <w:ind w:right="-83"/>
        <w:jc w:val="center"/>
        <w:textAlignment w:val="center"/>
        <w:rPr>
          <w:rFonts w:ascii="Arial Narrow" w:eastAsia="Times New Roman" w:hAnsi="Arial Narrow" w:cs="Tahoma"/>
          <w:b/>
          <w:bCs/>
          <w:color w:val="000000"/>
          <w:lang w:val="sr-Latn-ME"/>
        </w:rPr>
      </w:pPr>
      <w:bookmarkStart w:id="6" w:name="clan_12"/>
      <w:bookmarkEnd w:id="6"/>
      <w:r w:rsidRPr="00D833AB">
        <w:rPr>
          <w:rFonts w:ascii="Arial Narrow" w:eastAsia="Times New Roman" w:hAnsi="Arial Narrow" w:cs="Tahoma"/>
          <w:b/>
          <w:bCs/>
          <w:color w:val="000000"/>
          <w:lang w:val="sr-Latn-ME"/>
        </w:rPr>
        <w:t>Član 12</w:t>
      </w:r>
    </w:p>
    <w:p w:rsidR="00D833AB" w:rsidRPr="00D833AB" w:rsidRDefault="00D833AB" w:rsidP="00D833AB">
      <w:pPr>
        <w:spacing w:after="0" w:line="240" w:lineRule="auto"/>
        <w:ind w:right="-83" w:firstLine="39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ab/>
        <w:t>Zaposleni ima pravo na zaštitu od ponašanja koje predstavlja mobing.</w:t>
      </w:r>
    </w:p>
    <w:p w:rsidR="00D833AB" w:rsidRPr="00D833AB" w:rsidRDefault="00D833AB" w:rsidP="00D833AB">
      <w:pPr>
        <w:spacing w:after="0" w:line="240" w:lineRule="auto"/>
        <w:ind w:right="-360" w:firstLine="720"/>
        <w:jc w:val="both"/>
        <w:rPr>
          <w:rFonts w:ascii="Arial Narrow" w:eastAsia="Times New Roman" w:hAnsi="Arial Narrow" w:cs="Tahoma"/>
          <w:color w:val="000000"/>
          <w:lang w:val="sr-Latn-ME"/>
        </w:rPr>
      </w:pPr>
    </w:p>
    <w:p w:rsidR="00D833AB" w:rsidRPr="00D833AB" w:rsidRDefault="00D833AB" w:rsidP="00D833AB">
      <w:pPr>
        <w:spacing w:after="0" w:line="240" w:lineRule="auto"/>
        <w:ind w:right="-83"/>
        <w:jc w:val="center"/>
        <w:rPr>
          <w:rFonts w:ascii="Arial Narrow" w:eastAsia="Times New Roman" w:hAnsi="Arial Narrow" w:cs="Tahoma"/>
          <w:b/>
          <w:bCs/>
          <w:color w:val="000000"/>
          <w:lang w:val="sr-Latn-ME"/>
        </w:rPr>
      </w:pPr>
      <w:bookmarkStart w:id="7" w:name="sadrzaj20"/>
      <w:bookmarkEnd w:id="7"/>
      <w:r w:rsidRPr="00D833AB">
        <w:rPr>
          <w:rFonts w:ascii="Arial Narrow" w:eastAsia="Times New Roman" w:hAnsi="Arial Narrow" w:cs="Tahoma"/>
          <w:b/>
          <w:bCs/>
          <w:color w:val="000000"/>
          <w:lang w:val="sr-Latn-ME"/>
        </w:rPr>
        <w:t>Pokretanje postupka</w:t>
      </w:r>
    </w:p>
    <w:p w:rsidR="00D833AB" w:rsidRPr="00D833AB" w:rsidRDefault="00D833AB" w:rsidP="00D833AB">
      <w:pPr>
        <w:spacing w:after="0" w:line="240" w:lineRule="auto"/>
        <w:ind w:right="-83"/>
        <w:jc w:val="center"/>
        <w:textAlignment w:val="center"/>
        <w:rPr>
          <w:rFonts w:ascii="Arial Narrow" w:eastAsia="Times New Roman" w:hAnsi="Arial Narrow" w:cs="Tahoma"/>
          <w:b/>
          <w:bCs/>
          <w:color w:val="000000"/>
          <w:lang w:val="sr-Latn-ME"/>
        </w:rPr>
      </w:pPr>
      <w:bookmarkStart w:id="8" w:name="clan_15"/>
      <w:bookmarkEnd w:id="8"/>
      <w:r w:rsidRPr="00D833AB">
        <w:rPr>
          <w:rFonts w:ascii="Arial Narrow" w:eastAsia="Times New Roman" w:hAnsi="Arial Narrow" w:cs="Tahoma"/>
          <w:b/>
          <w:bCs/>
          <w:color w:val="000000"/>
          <w:lang w:val="sr-Latn-ME"/>
        </w:rPr>
        <w:t>Član 15</w:t>
      </w:r>
    </w:p>
    <w:p w:rsidR="00D833AB" w:rsidRPr="00D833AB" w:rsidRDefault="00D833AB" w:rsidP="00D833AB">
      <w:pPr>
        <w:spacing w:after="0" w:line="240" w:lineRule="auto"/>
        <w:ind w:right="-83"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Zaposleni koji smatra da je izložen mobingu podnosi pisani zahtjev za pokretanje postupka za zaštitu od mobinga posredniku, odnosno poslodavcu ukoliko nije određen posrednik.</w:t>
      </w:r>
    </w:p>
    <w:p w:rsidR="00D833AB" w:rsidRPr="00D833AB" w:rsidRDefault="00D833AB" w:rsidP="00D833AB">
      <w:pPr>
        <w:spacing w:after="0" w:line="240" w:lineRule="auto"/>
        <w:ind w:right="-83"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Zahtjev iz stava 1 ovog člana sadrži podatke koji ukazuju na postojanje mobinga.</w:t>
      </w:r>
    </w:p>
    <w:p w:rsidR="00D833AB" w:rsidRPr="00D833AB" w:rsidRDefault="00D833AB" w:rsidP="00D833AB">
      <w:pPr>
        <w:spacing w:after="0" w:line="240" w:lineRule="auto"/>
        <w:ind w:right="-83"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Posrednik je dužan da, u roku od tri dana od dana prijema zahtjeva iz stava 1 ovog člana, pokrene postupak posredovanja.</w:t>
      </w:r>
    </w:p>
    <w:p w:rsidR="00D833AB" w:rsidRPr="00D833AB" w:rsidRDefault="00D833AB" w:rsidP="00D833AB">
      <w:pPr>
        <w:spacing w:after="0" w:line="240" w:lineRule="auto"/>
        <w:ind w:right="-83"/>
        <w:jc w:val="center"/>
        <w:rPr>
          <w:rFonts w:ascii="Arial Narrow" w:eastAsia="Times New Roman" w:hAnsi="Arial Narrow" w:cs="Tahoma"/>
          <w:b/>
          <w:bCs/>
          <w:color w:val="000000"/>
          <w:lang w:val="sr-Latn-ME"/>
        </w:rPr>
      </w:pPr>
      <w:bookmarkStart w:id="9" w:name="sadrzaj21"/>
      <w:bookmarkEnd w:id="9"/>
      <w:r w:rsidRPr="00D833AB">
        <w:rPr>
          <w:rFonts w:ascii="Arial Narrow" w:eastAsia="Times New Roman" w:hAnsi="Arial Narrow" w:cs="Tahoma"/>
          <w:b/>
          <w:bCs/>
          <w:color w:val="000000"/>
          <w:lang w:val="sr-Latn-ME"/>
        </w:rPr>
        <w:t>Sprovođenje postupka posredovanja</w:t>
      </w:r>
    </w:p>
    <w:p w:rsidR="00D833AB" w:rsidRPr="00D833AB" w:rsidRDefault="00D833AB" w:rsidP="00D833AB">
      <w:pPr>
        <w:spacing w:after="0" w:line="240" w:lineRule="auto"/>
        <w:ind w:right="-83"/>
        <w:jc w:val="center"/>
        <w:textAlignment w:val="center"/>
        <w:rPr>
          <w:rFonts w:ascii="Arial Narrow" w:eastAsia="Times New Roman" w:hAnsi="Arial Narrow" w:cs="Tahoma"/>
          <w:b/>
          <w:bCs/>
          <w:color w:val="000000"/>
          <w:lang w:val="sr-Latn-ME"/>
        </w:rPr>
      </w:pPr>
      <w:bookmarkStart w:id="10" w:name="clan_16"/>
      <w:bookmarkEnd w:id="10"/>
      <w:r w:rsidRPr="00D833AB">
        <w:rPr>
          <w:rFonts w:ascii="Arial Narrow" w:eastAsia="Times New Roman" w:hAnsi="Arial Narrow" w:cs="Tahoma"/>
          <w:b/>
          <w:bCs/>
          <w:color w:val="000000"/>
          <w:lang w:val="sr-Latn-ME"/>
        </w:rPr>
        <w:t>Član 16</w:t>
      </w:r>
    </w:p>
    <w:p w:rsidR="00D833AB" w:rsidRPr="00D833AB" w:rsidRDefault="00D833AB" w:rsidP="00D833AB">
      <w:pPr>
        <w:spacing w:after="0" w:line="240" w:lineRule="auto"/>
        <w:ind w:right="-83"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Postupak posredovanja je hitan.</w:t>
      </w:r>
    </w:p>
    <w:p w:rsidR="00D833AB" w:rsidRPr="00D833AB" w:rsidRDefault="00D833AB" w:rsidP="00D833AB">
      <w:pPr>
        <w:spacing w:after="0" w:line="240" w:lineRule="auto"/>
        <w:ind w:right="-83"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lastRenderedPageBreak/>
        <w:t>Posrednik je dužan da postupa nezavisno i nepristrasno, na način da stranama u sporu pomaže da postignu sporazum.</w:t>
      </w:r>
    </w:p>
    <w:p w:rsidR="00D833AB" w:rsidRPr="00D833AB" w:rsidRDefault="00D833AB" w:rsidP="00D833AB">
      <w:pPr>
        <w:spacing w:after="0" w:line="240" w:lineRule="auto"/>
        <w:ind w:right="-83"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U postupku posredovanja, na zahtjev strane u sporu, može da učestvuje i predstavnik sindikata, odnosno predstavnik zaposlenih.</w:t>
      </w:r>
    </w:p>
    <w:p w:rsidR="00D833AB" w:rsidRPr="00D833AB" w:rsidRDefault="00D833AB" w:rsidP="00D833AB">
      <w:pPr>
        <w:spacing w:after="0" w:line="240" w:lineRule="auto"/>
        <w:ind w:right="-83"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Postupak posredovanja zatvoren je za javnost.</w:t>
      </w:r>
    </w:p>
    <w:p w:rsidR="00D833AB" w:rsidRPr="00D833AB" w:rsidRDefault="00D833AB" w:rsidP="00D833AB">
      <w:pPr>
        <w:spacing w:after="0" w:line="240" w:lineRule="auto"/>
        <w:ind w:right="-83"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Podaci prikupljeni u toku posredovanja mogu se saopštavati samo učesnicima u postupku i organima nadležnim za zaštitu od mobinga.</w:t>
      </w:r>
    </w:p>
    <w:p w:rsidR="00D833AB" w:rsidRPr="00D833AB" w:rsidRDefault="00D833AB" w:rsidP="00D833AB">
      <w:pPr>
        <w:spacing w:after="0" w:line="240" w:lineRule="auto"/>
        <w:ind w:right="-83"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Iznošenje podataka do kojih se došlo u toku posredovanja predstavlja težu povredu radne obaveze.</w:t>
      </w:r>
    </w:p>
    <w:p w:rsidR="00D833AB" w:rsidRPr="00D833AB" w:rsidRDefault="00D833AB" w:rsidP="00D833AB">
      <w:pPr>
        <w:spacing w:after="0" w:line="240" w:lineRule="auto"/>
        <w:ind w:right="-83" w:firstLine="720"/>
        <w:jc w:val="both"/>
        <w:rPr>
          <w:rFonts w:ascii="Arial Narrow" w:eastAsia="Times New Roman" w:hAnsi="Arial Narrow" w:cs="Tahoma"/>
          <w:color w:val="000000"/>
          <w:lang w:val="sr-Latn-ME"/>
        </w:rPr>
      </w:pPr>
    </w:p>
    <w:p w:rsidR="00D833AB" w:rsidRPr="00D833AB" w:rsidRDefault="00D833AB" w:rsidP="00D833AB">
      <w:pPr>
        <w:spacing w:after="0" w:line="240" w:lineRule="auto"/>
        <w:ind w:right="-83"/>
        <w:jc w:val="center"/>
        <w:rPr>
          <w:rFonts w:ascii="Arial Narrow" w:eastAsia="Times New Roman" w:hAnsi="Arial Narrow" w:cs="Tahoma"/>
          <w:b/>
          <w:bCs/>
          <w:color w:val="000000"/>
          <w:lang w:val="sr-Latn-ME"/>
        </w:rPr>
      </w:pPr>
      <w:bookmarkStart w:id="11" w:name="sadrzaj22"/>
      <w:bookmarkEnd w:id="11"/>
      <w:r w:rsidRPr="00D833AB">
        <w:rPr>
          <w:rFonts w:ascii="Arial Narrow" w:eastAsia="Times New Roman" w:hAnsi="Arial Narrow" w:cs="Tahoma"/>
          <w:b/>
          <w:bCs/>
          <w:color w:val="000000"/>
          <w:lang w:val="sr-Latn-ME"/>
        </w:rPr>
        <w:t>Tok postupka</w:t>
      </w:r>
    </w:p>
    <w:p w:rsidR="00D833AB" w:rsidRPr="00D833AB" w:rsidRDefault="00D833AB" w:rsidP="00D833AB">
      <w:pPr>
        <w:spacing w:after="0" w:line="240" w:lineRule="auto"/>
        <w:ind w:right="-83"/>
        <w:jc w:val="center"/>
        <w:textAlignment w:val="center"/>
        <w:rPr>
          <w:rFonts w:ascii="Arial Narrow" w:eastAsia="Times New Roman" w:hAnsi="Arial Narrow" w:cs="Tahoma"/>
          <w:b/>
          <w:bCs/>
          <w:color w:val="000000"/>
          <w:lang w:val="sr-Latn-ME"/>
        </w:rPr>
      </w:pPr>
      <w:bookmarkStart w:id="12" w:name="clan_17"/>
      <w:bookmarkEnd w:id="12"/>
      <w:r w:rsidRPr="00D833AB">
        <w:rPr>
          <w:rFonts w:ascii="Arial Narrow" w:eastAsia="Times New Roman" w:hAnsi="Arial Narrow" w:cs="Tahoma"/>
          <w:b/>
          <w:bCs/>
          <w:color w:val="000000"/>
          <w:lang w:val="sr-Latn-ME"/>
        </w:rPr>
        <w:t>Član 17</w:t>
      </w:r>
    </w:p>
    <w:p w:rsidR="00D833AB" w:rsidRPr="00D833AB" w:rsidRDefault="00D833AB" w:rsidP="00D833AB">
      <w:pPr>
        <w:spacing w:after="0" w:line="240" w:lineRule="auto"/>
        <w:ind w:right="-83"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Strane u sporu mogu da se sporazumiju o načinu na koji će se postupak posredovanja sprovesti.</w:t>
      </w:r>
    </w:p>
    <w:p w:rsidR="00D833AB" w:rsidRPr="00D833AB" w:rsidRDefault="00D833AB" w:rsidP="00D833AB">
      <w:pPr>
        <w:spacing w:after="0" w:line="240" w:lineRule="auto"/>
        <w:ind w:right="-83"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Ako strane u sporu ne postignu sporazum o načinu sprovođenja postupka, posrednik će sprovesti postupak posredovanja na način za koji smatra da je odgovarajući, imajući u vidu okolnosti spornog odnosa i interese strana u sporu.</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Posrednik može da vodi zajedničke ili odvojene razgovore sa stranama u sporu, kao i da, uz saglasnost jedne strane, drugoj strani prenese i ukaže predloge i stavove o pojedinim pitanjima.</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p>
    <w:p w:rsidR="00D833AB" w:rsidRPr="00D833AB" w:rsidRDefault="00D833AB" w:rsidP="00D833AB">
      <w:pPr>
        <w:spacing w:after="0" w:line="240" w:lineRule="auto"/>
        <w:ind w:right="7"/>
        <w:jc w:val="center"/>
        <w:rPr>
          <w:rFonts w:ascii="Arial Narrow" w:eastAsia="Times New Roman" w:hAnsi="Arial Narrow" w:cs="Tahoma"/>
          <w:b/>
          <w:bCs/>
          <w:color w:val="000000"/>
          <w:lang w:val="sr-Latn-ME"/>
        </w:rPr>
      </w:pPr>
      <w:bookmarkStart w:id="13" w:name="sadrzaj23"/>
      <w:bookmarkEnd w:id="13"/>
      <w:r w:rsidRPr="00D833AB">
        <w:rPr>
          <w:rFonts w:ascii="Arial Narrow" w:eastAsia="Times New Roman" w:hAnsi="Arial Narrow" w:cs="Tahoma"/>
          <w:b/>
          <w:bCs/>
          <w:color w:val="000000"/>
          <w:lang w:val="sr-Latn-ME"/>
        </w:rPr>
        <w:t>Privremene mjere</w:t>
      </w:r>
    </w:p>
    <w:p w:rsidR="00D833AB" w:rsidRPr="00D833AB" w:rsidRDefault="00D833AB" w:rsidP="00D833AB">
      <w:pPr>
        <w:spacing w:after="0" w:line="240" w:lineRule="auto"/>
        <w:ind w:right="7"/>
        <w:jc w:val="center"/>
        <w:textAlignment w:val="center"/>
        <w:rPr>
          <w:rFonts w:ascii="Arial Narrow" w:eastAsia="Times New Roman" w:hAnsi="Arial Narrow" w:cs="Tahoma"/>
          <w:b/>
          <w:bCs/>
          <w:color w:val="000000"/>
          <w:lang w:val="sr-Latn-ME"/>
        </w:rPr>
      </w:pPr>
      <w:bookmarkStart w:id="14" w:name="clan_18"/>
      <w:bookmarkEnd w:id="14"/>
      <w:r w:rsidRPr="00D833AB">
        <w:rPr>
          <w:rFonts w:ascii="Arial Narrow" w:eastAsia="Times New Roman" w:hAnsi="Arial Narrow" w:cs="Tahoma"/>
          <w:b/>
          <w:bCs/>
          <w:color w:val="000000"/>
          <w:lang w:val="sr-Latn-ME"/>
        </w:rPr>
        <w:t>Član 18</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Posrednik može da, ukoliko ocijeni da prijeti opasnost od nastupanja nenadoknadive štete zaposlenom koji smatra da je izložen mobingu, poslodavcu dostavi obrazloženi predlog za preduzimanje odgovarajućih mjera, do okončanja postupka za zaštitu od mobinga i to: zabrana približavanja lica koje vrši mobing zaposlenom koji je izložen mobingu i promjena radne prostorije za lice na koje se prijava za mobing odnosi.</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Poslodavac može prihvatiti preporuke iz stava 1 ovog člana ako su u skladu sa njegovom poslovnom politikom.</w:t>
      </w:r>
    </w:p>
    <w:p w:rsidR="00D833AB" w:rsidRPr="00D833AB" w:rsidRDefault="00D833AB" w:rsidP="00D833AB">
      <w:pPr>
        <w:spacing w:after="0" w:line="240" w:lineRule="auto"/>
        <w:ind w:right="7"/>
        <w:jc w:val="center"/>
        <w:rPr>
          <w:rFonts w:ascii="Arial Narrow" w:eastAsia="Times New Roman" w:hAnsi="Arial Narrow" w:cs="Tahoma"/>
          <w:b/>
          <w:bCs/>
          <w:color w:val="000000"/>
          <w:lang w:val="sr-Latn-ME"/>
        </w:rPr>
      </w:pPr>
      <w:bookmarkStart w:id="15" w:name="sadrzaj24"/>
      <w:bookmarkEnd w:id="15"/>
      <w:r w:rsidRPr="00D833AB">
        <w:rPr>
          <w:rFonts w:ascii="Arial Narrow" w:eastAsia="Times New Roman" w:hAnsi="Arial Narrow" w:cs="Tahoma"/>
          <w:b/>
          <w:bCs/>
          <w:color w:val="000000"/>
          <w:lang w:val="sr-Latn-ME"/>
        </w:rPr>
        <w:t>Prekid rada</w:t>
      </w:r>
    </w:p>
    <w:p w:rsidR="00D833AB" w:rsidRPr="00D833AB" w:rsidRDefault="00D833AB" w:rsidP="00D833AB">
      <w:pPr>
        <w:spacing w:after="0" w:line="240" w:lineRule="auto"/>
        <w:ind w:right="7"/>
        <w:jc w:val="center"/>
        <w:textAlignment w:val="center"/>
        <w:rPr>
          <w:rFonts w:ascii="Arial Narrow" w:eastAsia="Times New Roman" w:hAnsi="Arial Narrow" w:cs="Tahoma"/>
          <w:b/>
          <w:bCs/>
          <w:color w:val="000000"/>
          <w:lang w:val="sr-Latn-ME"/>
        </w:rPr>
      </w:pPr>
      <w:bookmarkStart w:id="16" w:name="clan_19"/>
      <w:bookmarkEnd w:id="16"/>
      <w:r w:rsidRPr="00D833AB">
        <w:rPr>
          <w:rFonts w:ascii="Arial Narrow" w:eastAsia="Times New Roman" w:hAnsi="Arial Narrow" w:cs="Tahoma"/>
          <w:b/>
          <w:bCs/>
          <w:color w:val="000000"/>
          <w:lang w:val="sr-Latn-ME"/>
        </w:rPr>
        <w:t>Član 19</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Ukoliko poslodavac nije preduzeo mjere u slučaju iz člana 18 ovog zakona, zaposleni koji je izložen mobingu ima pravo da prekine rad do okončanja postupka posredovanja, ukoliko mu po mišljenju doktora specijaliste nadležne zdravstvene ustanove prijeti neposredna opasnost po zdravlje ili život.</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Zaposleni je dužan da prije prekida rada u slučaju iz stava 1 ovog člana o tome obavijesti poslodavca.</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U slučaju iz stava 1 ovog člana zaposleni ima pravo na naknadu zarade kao da je na radu.</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p>
    <w:p w:rsidR="00D833AB" w:rsidRPr="00D833AB" w:rsidRDefault="00D833AB" w:rsidP="00D833AB">
      <w:pPr>
        <w:spacing w:after="0" w:line="240" w:lineRule="auto"/>
        <w:jc w:val="center"/>
        <w:rPr>
          <w:rFonts w:ascii="Arial Narrow" w:eastAsia="Times New Roman" w:hAnsi="Arial Narrow" w:cs="Tahoma"/>
          <w:b/>
          <w:bCs/>
          <w:color w:val="000000"/>
          <w:lang w:val="sr-Latn-ME"/>
        </w:rPr>
      </w:pPr>
      <w:bookmarkStart w:id="17" w:name="sadrzaj25"/>
      <w:bookmarkEnd w:id="17"/>
      <w:r w:rsidRPr="00D833AB">
        <w:rPr>
          <w:rFonts w:ascii="Arial Narrow" w:eastAsia="Times New Roman" w:hAnsi="Arial Narrow" w:cs="Tahoma"/>
          <w:b/>
          <w:bCs/>
          <w:color w:val="000000"/>
          <w:lang w:val="sr-Latn-ME"/>
        </w:rPr>
        <w:t>Okončanje postupka posredovanja</w:t>
      </w:r>
    </w:p>
    <w:p w:rsidR="00D833AB" w:rsidRPr="00D833AB" w:rsidRDefault="00D833AB" w:rsidP="00D833AB">
      <w:pPr>
        <w:spacing w:after="0" w:line="240" w:lineRule="auto"/>
        <w:jc w:val="center"/>
        <w:textAlignment w:val="center"/>
        <w:rPr>
          <w:rFonts w:ascii="Arial Narrow" w:eastAsia="Times New Roman" w:hAnsi="Arial Narrow" w:cs="Tahoma"/>
          <w:b/>
          <w:bCs/>
          <w:color w:val="000000"/>
          <w:lang w:val="sr-Latn-ME"/>
        </w:rPr>
      </w:pPr>
      <w:bookmarkStart w:id="18" w:name="clan_20"/>
      <w:bookmarkEnd w:id="18"/>
      <w:r w:rsidRPr="00D833AB">
        <w:rPr>
          <w:rFonts w:ascii="Arial Narrow" w:eastAsia="Times New Roman" w:hAnsi="Arial Narrow" w:cs="Tahoma"/>
          <w:b/>
          <w:bCs/>
          <w:color w:val="000000"/>
          <w:lang w:val="sr-Latn-ME"/>
        </w:rPr>
        <w:t xml:space="preserve">Član 20 </w:t>
      </w:r>
      <w:r w:rsidRPr="00D833AB">
        <w:rPr>
          <w:rFonts w:ascii="Tahoma" w:eastAsia="Times New Roman" w:hAnsi="Tahoma" w:cs="Tahoma"/>
          <w:b/>
          <w:bCs/>
          <w:color w:val="000000"/>
          <w:lang w:val="sr-Latn-ME"/>
        </w:rPr>
        <w:t>﻿</w:t>
      </w:r>
    </w:p>
    <w:p w:rsidR="00D833AB" w:rsidRPr="00D833AB" w:rsidRDefault="00D833AB" w:rsidP="00D833AB">
      <w:pPr>
        <w:spacing w:after="0" w:line="240" w:lineRule="auto"/>
        <w:jc w:val="center"/>
        <w:textAlignment w:val="center"/>
        <w:rPr>
          <w:rFonts w:ascii="Arial Narrow" w:eastAsia="Times New Roman" w:hAnsi="Arial Narrow" w:cs="Tahoma"/>
          <w:b/>
          <w:bCs/>
          <w:color w:val="000000"/>
          <w:lang w:val="sr-Latn-ME"/>
        </w:rPr>
      </w:pPr>
    </w:p>
    <w:p w:rsidR="00D833AB" w:rsidRPr="00D833AB" w:rsidRDefault="00D833AB" w:rsidP="00D833AB">
      <w:pPr>
        <w:spacing w:after="0" w:line="240" w:lineRule="auto"/>
        <w:ind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Postupak posredovanja završava se u roku od osam dana od dana pokretanja postupka:</w:t>
      </w:r>
    </w:p>
    <w:p w:rsidR="00D833AB" w:rsidRPr="00D833AB" w:rsidRDefault="00D833AB" w:rsidP="00D833AB">
      <w:pPr>
        <w:spacing w:after="0" w:line="240" w:lineRule="auto"/>
        <w:ind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1) zaključivanjem pisanog sporazuma između strana u sporu;</w:t>
      </w:r>
    </w:p>
    <w:p w:rsidR="00D833AB" w:rsidRPr="00D833AB" w:rsidRDefault="00D833AB" w:rsidP="00D833AB">
      <w:pPr>
        <w:spacing w:after="0" w:line="240" w:lineRule="auto"/>
        <w:ind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2) rješenjem posrednika o neuspjelom posredovanju;</w:t>
      </w:r>
    </w:p>
    <w:p w:rsidR="00D833AB" w:rsidRPr="00D833AB" w:rsidRDefault="00D833AB" w:rsidP="00D833AB">
      <w:pPr>
        <w:spacing w:after="0" w:line="240" w:lineRule="auto"/>
        <w:ind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3) izjavom strana u sporu o odustajanju od daljeg postupka.</w:t>
      </w:r>
    </w:p>
    <w:p w:rsidR="00D833AB" w:rsidRPr="00D833AB" w:rsidRDefault="00D833AB" w:rsidP="00D833AB">
      <w:pPr>
        <w:spacing w:after="0" w:line="240" w:lineRule="auto"/>
        <w:ind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Iz opravdanih razloga rok za okončanje postupka posredovanja može se produžiti najviše do 30 dana od dana pokretanja postupka.</w:t>
      </w:r>
    </w:p>
    <w:p w:rsidR="00D833AB" w:rsidRPr="00D833AB" w:rsidRDefault="00D833AB" w:rsidP="00D833AB">
      <w:pPr>
        <w:spacing w:after="0" w:line="240" w:lineRule="auto"/>
        <w:ind w:firstLine="720"/>
        <w:jc w:val="both"/>
        <w:rPr>
          <w:rFonts w:ascii="Arial Narrow" w:eastAsia="Times New Roman" w:hAnsi="Arial Narrow" w:cs="Tahoma"/>
          <w:color w:val="000000"/>
          <w:lang w:val="sr-Latn-ME"/>
        </w:rPr>
      </w:pPr>
    </w:p>
    <w:p w:rsidR="00D833AB" w:rsidRPr="00D833AB" w:rsidRDefault="00D833AB" w:rsidP="00D833AB">
      <w:pPr>
        <w:spacing w:after="0" w:line="240" w:lineRule="auto"/>
        <w:jc w:val="center"/>
        <w:rPr>
          <w:rFonts w:ascii="Arial Narrow" w:eastAsia="Times New Roman" w:hAnsi="Arial Narrow" w:cs="Tahoma"/>
          <w:b/>
          <w:bCs/>
          <w:color w:val="000000"/>
          <w:lang w:val="sr-Latn-ME"/>
        </w:rPr>
      </w:pPr>
      <w:bookmarkStart w:id="19" w:name="sadrzaj26"/>
      <w:bookmarkEnd w:id="19"/>
      <w:r w:rsidRPr="00D833AB">
        <w:rPr>
          <w:rFonts w:ascii="Arial Narrow" w:eastAsia="Times New Roman" w:hAnsi="Arial Narrow" w:cs="Tahoma"/>
          <w:b/>
          <w:bCs/>
          <w:color w:val="000000"/>
          <w:lang w:val="sr-Latn-ME"/>
        </w:rPr>
        <w:t>Sporazum o rješavanju spornog pitanja</w:t>
      </w:r>
    </w:p>
    <w:p w:rsidR="00D833AB" w:rsidRPr="00D833AB" w:rsidRDefault="00D833AB" w:rsidP="00D833AB">
      <w:pPr>
        <w:spacing w:after="0" w:line="240" w:lineRule="auto"/>
        <w:jc w:val="center"/>
        <w:textAlignment w:val="center"/>
        <w:rPr>
          <w:rFonts w:ascii="Arial Narrow" w:eastAsia="Times New Roman" w:hAnsi="Arial Narrow" w:cs="Tahoma"/>
          <w:b/>
          <w:bCs/>
          <w:color w:val="000000"/>
          <w:lang w:val="sr-Latn-ME"/>
        </w:rPr>
      </w:pPr>
      <w:bookmarkStart w:id="20" w:name="clan_21"/>
      <w:bookmarkEnd w:id="20"/>
      <w:r w:rsidRPr="00D833AB">
        <w:rPr>
          <w:rFonts w:ascii="Arial Narrow" w:eastAsia="Times New Roman" w:hAnsi="Arial Narrow" w:cs="Tahoma"/>
          <w:b/>
          <w:bCs/>
          <w:color w:val="000000"/>
          <w:lang w:val="sr-Latn-ME"/>
        </w:rPr>
        <w:t>Član 21</w:t>
      </w:r>
    </w:p>
    <w:p w:rsidR="00D833AB" w:rsidRPr="00D833AB" w:rsidRDefault="00D833AB" w:rsidP="00D833AB">
      <w:pPr>
        <w:spacing w:after="0" w:line="240" w:lineRule="auto"/>
        <w:ind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Sporazum iz člana 20 stav 1 tačka 1 ovog zakona sadrži mjere koje se odnose na prestanak ponašanja koje predstavlja mobing.</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Sporazum iz stava 1 ovog člana može da sadrži i preporuke poslodavcu o raspoređivanju zaposlenog u drugu radnu sredinu.</w:t>
      </w:r>
    </w:p>
    <w:p w:rsidR="00D833AB" w:rsidRPr="00D833AB" w:rsidRDefault="00D833AB" w:rsidP="00D833AB">
      <w:pPr>
        <w:spacing w:after="0" w:line="240" w:lineRule="auto"/>
        <w:ind w:right="7"/>
        <w:jc w:val="center"/>
        <w:rPr>
          <w:rFonts w:ascii="Arial Narrow" w:eastAsia="Times New Roman" w:hAnsi="Arial Narrow" w:cs="Tahoma"/>
          <w:b/>
          <w:bCs/>
          <w:color w:val="000000"/>
          <w:lang w:val="sr-Latn-ME"/>
        </w:rPr>
      </w:pPr>
      <w:bookmarkStart w:id="21" w:name="sadrzaj27"/>
      <w:bookmarkEnd w:id="21"/>
      <w:r w:rsidRPr="00D833AB">
        <w:rPr>
          <w:rFonts w:ascii="Arial Narrow" w:eastAsia="Times New Roman" w:hAnsi="Arial Narrow" w:cs="Tahoma"/>
          <w:b/>
          <w:bCs/>
          <w:color w:val="000000"/>
          <w:lang w:val="sr-Latn-ME"/>
        </w:rPr>
        <w:t>Neuspjelo posredovanje</w:t>
      </w:r>
    </w:p>
    <w:p w:rsidR="00D833AB" w:rsidRPr="00D833AB" w:rsidRDefault="00D833AB" w:rsidP="00D833AB">
      <w:pPr>
        <w:spacing w:after="0" w:line="240" w:lineRule="auto"/>
        <w:ind w:right="7"/>
        <w:jc w:val="center"/>
        <w:textAlignment w:val="center"/>
        <w:rPr>
          <w:rFonts w:ascii="Arial Narrow" w:eastAsia="Times New Roman" w:hAnsi="Arial Narrow" w:cs="Tahoma"/>
          <w:b/>
          <w:bCs/>
          <w:color w:val="000000"/>
          <w:lang w:val="sr-Latn-ME"/>
        </w:rPr>
      </w:pPr>
      <w:bookmarkStart w:id="22" w:name="clan_22"/>
      <w:bookmarkEnd w:id="22"/>
      <w:r w:rsidRPr="00D833AB">
        <w:rPr>
          <w:rFonts w:ascii="Arial Narrow" w:eastAsia="Times New Roman" w:hAnsi="Arial Narrow" w:cs="Tahoma"/>
          <w:b/>
          <w:bCs/>
          <w:color w:val="000000"/>
          <w:lang w:val="sr-Latn-ME"/>
        </w:rPr>
        <w:t>Član 22</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Ako strane u sporu ne postignu sporazum o rješenju spora, posrednik je dužan da, u roku od tri dana od dana isteka roka iz člana 20 ovog zakona, podnosiocu zahtjeva za pokretanje postupka za zaštitu od mobinga i poslodavcu dostavi obavještenje da postupak posredovanja nije uspio.</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lastRenderedPageBreak/>
        <w:t>Uz obavještenje iz stava 1 ovog člana posrednik može predložiti poslodavcu mjere za zaštitu zaposlenog od mobinga, u skladu sa utvrđenim činjeničnim stanjem i potrebama procesa rada kod tog poslodavca.</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Smatra se da postupak posredovanja nije uspio i ako strane u sporu ne odrede posrednika u skladu sa članom 9 stav 2 ovog zakona.</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U slučaju iz stava 3 ovog člana poslodavac je dužan da podnosiocu zahtjeva za pokretanje postupka za zaštitu od mobinga, u roku od tri dana od dana isteka roka iz člana 32 stav 2 ovog zakona, donosi obavještenje da postupak posredovanja nije uspio.</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p>
    <w:p w:rsidR="00D833AB" w:rsidRPr="00D833AB" w:rsidRDefault="00D833AB" w:rsidP="00D833AB">
      <w:pPr>
        <w:spacing w:after="0" w:line="240" w:lineRule="auto"/>
        <w:ind w:right="7"/>
        <w:jc w:val="center"/>
        <w:rPr>
          <w:rFonts w:ascii="Arial Narrow" w:eastAsia="Times New Roman" w:hAnsi="Arial Narrow" w:cs="Tahoma"/>
          <w:b/>
          <w:bCs/>
          <w:color w:val="000000"/>
          <w:lang w:val="sr-Latn-ME"/>
        </w:rPr>
      </w:pPr>
      <w:bookmarkStart w:id="23" w:name="sadrzaj28"/>
      <w:bookmarkEnd w:id="23"/>
      <w:r w:rsidRPr="00D833AB">
        <w:rPr>
          <w:rFonts w:ascii="Arial Narrow" w:eastAsia="Times New Roman" w:hAnsi="Arial Narrow" w:cs="Tahoma"/>
          <w:b/>
          <w:bCs/>
          <w:color w:val="000000"/>
          <w:lang w:val="sr-Latn-ME"/>
        </w:rPr>
        <w:t>Rokovi zastarjelosti</w:t>
      </w:r>
    </w:p>
    <w:p w:rsidR="00D833AB" w:rsidRPr="00D833AB" w:rsidRDefault="00D833AB" w:rsidP="00D833AB">
      <w:pPr>
        <w:spacing w:after="0" w:line="240" w:lineRule="auto"/>
        <w:ind w:right="7"/>
        <w:jc w:val="center"/>
        <w:textAlignment w:val="center"/>
        <w:rPr>
          <w:rFonts w:ascii="Arial Narrow" w:eastAsia="Times New Roman" w:hAnsi="Arial Narrow" w:cs="Tahoma"/>
          <w:b/>
          <w:bCs/>
          <w:color w:val="000000"/>
          <w:lang w:val="sr-Latn-ME"/>
        </w:rPr>
      </w:pPr>
      <w:bookmarkStart w:id="24" w:name="clan_23"/>
      <w:bookmarkEnd w:id="24"/>
      <w:r w:rsidRPr="00D833AB">
        <w:rPr>
          <w:rFonts w:ascii="Arial Narrow" w:eastAsia="Times New Roman" w:hAnsi="Arial Narrow" w:cs="Tahoma"/>
          <w:b/>
          <w:bCs/>
          <w:color w:val="000000"/>
          <w:lang w:val="sr-Latn-ME"/>
        </w:rPr>
        <w:t>Član 23</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Pravo na podnošenje zahtjeva za zaštitu od mobinga kod poslodavca zastarijeva u roku od tri mjeseca od dana kada je mobing učinjen.</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Rok iz stava 1 ovog člana počinje da teče od dana kada je poslednji put izvršeno ponašanje koje predstavlja mobing.</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Za vrijeme trajanja roka iz stava 1 ovog člana i za vrijeme vođenja postupka posredovanja ne teku rokovi zastarjelosti propisani zakonom za utvrđivanje odgovornosti zaposlenog za nepoštovanje radne discipline, odnosno povredu radne dužnosti i za pokretanje postupka kod Agencije za mirno rješavanje radnih sporova, odnosno kod nadležnog suda.</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p>
    <w:p w:rsidR="00D833AB" w:rsidRPr="00D833AB" w:rsidRDefault="00D833AB" w:rsidP="00D833AB">
      <w:pPr>
        <w:spacing w:after="0" w:line="240" w:lineRule="auto"/>
        <w:ind w:right="7"/>
        <w:jc w:val="center"/>
        <w:rPr>
          <w:rFonts w:ascii="Arial Narrow" w:eastAsia="Times New Roman" w:hAnsi="Arial Narrow" w:cs="Tahoma"/>
          <w:b/>
          <w:bCs/>
          <w:color w:val="000000"/>
          <w:lang w:val="sr-Latn-ME"/>
        </w:rPr>
      </w:pPr>
      <w:bookmarkStart w:id="25" w:name="sadrzaj29"/>
      <w:bookmarkEnd w:id="25"/>
      <w:r w:rsidRPr="00D833AB">
        <w:rPr>
          <w:rFonts w:ascii="Arial Narrow" w:eastAsia="Times New Roman" w:hAnsi="Arial Narrow" w:cs="Tahoma"/>
          <w:b/>
          <w:bCs/>
          <w:color w:val="000000"/>
          <w:lang w:val="sr-Latn-ME"/>
        </w:rPr>
        <w:t>Zaštita učesnika u postupku</w:t>
      </w:r>
    </w:p>
    <w:p w:rsidR="00D833AB" w:rsidRPr="00D833AB" w:rsidRDefault="00D833AB" w:rsidP="00D833AB">
      <w:pPr>
        <w:spacing w:after="0" w:line="240" w:lineRule="auto"/>
        <w:ind w:right="7"/>
        <w:jc w:val="center"/>
        <w:textAlignment w:val="center"/>
        <w:rPr>
          <w:rFonts w:ascii="Arial Narrow" w:eastAsia="Times New Roman" w:hAnsi="Arial Narrow" w:cs="Tahoma"/>
          <w:b/>
          <w:bCs/>
          <w:color w:val="000000"/>
          <w:lang w:val="sr-Latn-ME"/>
        </w:rPr>
      </w:pPr>
      <w:bookmarkStart w:id="26" w:name="clan_24"/>
      <w:bookmarkEnd w:id="26"/>
      <w:r w:rsidRPr="00D833AB">
        <w:rPr>
          <w:rFonts w:ascii="Arial Narrow" w:eastAsia="Times New Roman" w:hAnsi="Arial Narrow" w:cs="Tahoma"/>
          <w:b/>
          <w:bCs/>
          <w:color w:val="000000"/>
          <w:lang w:val="sr-Latn-ME"/>
        </w:rPr>
        <w:t>Član 24</w:t>
      </w:r>
    </w:p>
    <w:p w:rsidR="00D833AB" w:rsidRPr="00D833AB" w:rsidRDefault="00D833AB" w:rsidP="00D833AB">
      <w:pPr>
        <w:spacing w:after="0" w:line="240" w:lineRule="auto"/>
        <w:ind w:right="7"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Pokretanje postupka za zaštitu od mobinga, kao i svjedočenje u tom postupku ne može da bude osnov za: stavljanje zaposlenog u nepovoljniji položaj u pogledu ostvarivanja prava i obaveza po osnovu rada; pokretanje postupka za utvrđivanje disciplinske, materijalne i druge odgovornosti zaposlenog; otkaz ugovora o radu, odnosno prestanak radnog ili drugog ugovornog odnosa po osnovu rada i proglašavanje zaposlenog viškom zaposlenih, u skladu sa propisima o radu.</w:t>
      </w:r>
    </w:p>
    <w:p w:rsidR="00D833AB" w:rsidRPr="00D833AB" w:rsidRDefault="00D833AB" w:rsidP="00D833AB">
      <w:pPr>
        <w:tabs>
          <w:tab w:val="left" w:pos="8640"/>
        </w:tabs>
        <w:spacing w:after="0" w:line="240" w:lineRule="auto"/>
        <w:ind w:right="7"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Pravo na zaštitu iz stava 1 ovog člana ima i zaposleni koji ukaže nadležnom državnom organu na povredu javnog interesa utvrđenog zakonom učinjenu od strane poslodavca, a osnovano sumnja da će biti izložen mobingu.</w:t>
      </w:r>
    </w:p>
    <w:p w:rsidR="00D833AB" w:rsidRPr="00D833AB" w:rsidRDefault="00D833AB" w:rsidP="00D833AB">
      <w:pPr>
        <w:tabs>
          <w:tab w:val="left" w:pos="8640"/>
        </w:tabs>
        <w:spacing w:after="0" w:line="240" w:lineRule="auto"/>
        <w:ind w:right="7" w:firstLine="720"/>
        <w:jc w:val="both"/>
        <w:rPr>
          <w:rFonts w:ascii="Arial Narrow" w:eastAsia="Times New Roman" w:hAnsi="Arial Narrow" w:cs="Tahoma"/>
          <w:color w:val="000000"/>
          <w:lang w:val="sr-Latn-ME"/>
        </w:rPr>
      </w:pPr>
      <w:r w:rsidRPr="00D833AB">
        <w:rPr>
          <w:rFonts w:ascii="Arial Narrow" w:eastAsia="Times New Roman" w:hAnsi="Arial Narrow" w:cs="Tahoma"/>
          <w:color w:val="000000"/>
          <w:lang w:val="sr-Latn-ME"/>
        </w:rPr>
        <w:t>Zaposleni za kojeg se, u skladu sa zakonom, utvrdi da je zloupotrijebio pravo na zaštitu od mobinga ne uživa zaštitu u smislu stava 1 ovog člana.</w:t>
      </w:r>
    </w:p>
    <w:p w:rsidR="00D833AB" w:rsidRPr="00D833AB" w:rsidRDefault="00D833AB" w:rsidP="00D833AB">
      <w:pPr>
        <w:spacing w:after="0" w:line="240" w:lineRule="auto"/>
        <w:ind w:left="150" w:right="150" w:firstLine="240"/>
        <w:jc w:val="both"/>
        <w:rPr>
          <w:rFonts w:ascii="Arial Narrow" w:eastAsia="Times New Roman" w:hAnsi="Arial Narrow" w:cs="Tahoma"/>
          <w:color w:val="000000"/>
          <w:lang w:val="sr-Latn-ME"/>
        </w:rPr>
      </w:pPr>
    </w:p>
    <w:p w:rsidR="00D833AB" w:rsidRPr="00D833AB" w:rsidRDefault="00D833AB" w:rsidP="00D833AB">
      <w:pPr>
        <w:spacing w:after="0" w:line="240" w:lineRule="auto"/>
        <w:ind w:right="-360" w:firstLine="720"/>
        <w:jc w:val="both"/>
        <w:rPr>
          <w:rFonts w:ascii="Arial Narrow" w:eastAsia="Times New Roman" w:hAnsi="Arial Narrow" w:cs="Times New Roman"/>
          <w:sz w:val="26"/>
          <w:szCs w:val="26"/>
          <w:lang w:val="sr-Latn-ME"/>
        </w:rPr>
      </w:pPr>
      <w:bookmarkStart w:id="27" w:name="sadrzaj30"/>
      <w:bookmarkEnd w:id="27"/>
      <w:r w:rsidRPr="00D833AB">
        <w:rPr>
          <w:rFonts w:ascii="Arial Narrow" w:eastAsia="Times New Roman" w:hAnsi="Arial Narrow" w:cs="Times New Roman"/>
          <w:b/>
          <w:sz w:val="26"/>
          <w:szCs w:val="26"/>
          <w:lang w:val="sr-Latn-ME"/>
        </w:rPr>
        <w:t>Zakon o obligacionim odnosima</w:t>
      </w:r>
      <w:r w:rsidRPr="00D833AB">
        <w:rPr>
          <w:rFonts w:ascii="Arial Narrow" w:eastAsia="Times New Roman" w:hAnsi="Arial Narrow" w:cs="Times New Roman"/>
          <w:sz w:val="26"/>
          <w:szCs w:val="26"/>
          <w:lang w:val="sr-Latn-ME"/>
        </w:rPr>
        <w:t xml:space="preserve"> („Službeni list Crne Gore“, br. 47/08)</w:t>
      </w:r>
    </w:p>
    <w:p w:rsidR="00D833AB" w:rsidRPr="00D833AB" w:rsidRDefault="00D833AB" w:rsidP="00D833AB">
      <w:pPr>
        <w:spacing w:after="0" w:line="240" w:lineRule="auto"/>
        <w:ind w:right="-360"/>
        <w:jc w:val="both"/>
        <w:rPr>
          <w:rFonts w:ascii="Arial Narrow" w:eastAsia="Times New Roman" w:hAnsi="Arial Narrow" w:cs="Times New Roman"/>
          <w:i/>
          <w:lang w:val="sr-Latn-ME"/>
        </w:rPr>
      </w:pPr>
    </w:p>
    <w:p w:rsidR="00D833AB" w:rsidRPr="00D833AB" w:rsidRDefault="00D833AB" w:rsidP="00D833AB">
      <w:pPr>
        <w:spacing w:after="0" w:line="240" w:lineRule="auto"/>
        <w:jc w:val="center"/>
        <w:rPr>
          <w:rFonts w:ascii="Arial Narrow" w:eastAsia="Times New Roman" w:hAnsi="Arial Narrow" w:cs="Arial"/>
          <w:b/>
          <w:bCs/>
          <w:color w:val="000000"/>
          <w:lang w:val="sr-Latn-ME"/>
        </w:rPr>
      </w:pPr>
      <w:r w:rsidRPr="00D833AB">
        <w:rPr>
          <w:rFonts w:ascii="Arial Narrow" w:eastAsia="Times New Roman" w:hAnsi="Arial Narrow" w:cs="Arial"/>
          <w:b/>
          <w:bCs/>
          <w:color w:val="000000"/>
          <w:lang w:val="sr-Latn-ME"/>
        </w:rPr>
        <w:t>Član 148 stav 1</w:t>
      </w:r>
    </w:p>
    <w:p w:rsidR="00D833AB" w:rsidRPr="00D833AB" w:rsidRDefault="00D833AB" w:rsidP="00D833AB">
      <w:pPr>
        <w:spacing w:after="0" w:line="240" w:lineRule="auto"/>
        <w:ind w:firstLine="720"/>
        <w:jc w:val="both"/>
        <w:rPr>
          <w:rFonts w:ascii="Arial Narrow" w:eastAsia="Times New Roman" w:hAnsi="Arial Narrow" w:cs="Arial"/>
          <w:color w:val="000000"/>
          <w:lang w:val="sr-Latn-ME"/>
        </w:rPr>
      </w:pPr>
      <w:r w:rsidRPr="00D833AB">
        <w:rPr>
          <w:rFonts w:ascii="Arial Narrow" w:eastAsia="Times New Roman" w:hAnsi="Arial Narrow" w:cs="Arial"/>
          <w:color w:val="000000"/>
          <w:lang w:val="sr-Latn-ME"/>
        </w:rPr>
        <w:t>Ko drugome prouzrokuje štetu dužan je da je naknadi, ukoliko ne dokaže da je šteta nastala bez njegove krivice.</w:t>
      </w:r>
    </w:p>
    <w:p w:rsidR="00D833AB" w:rsidRPr="00D833AB" w:rsidRDefault="00D833AB" w:rsidP="00D833AB">
      <w:pPr>
        <w:spacing w:after="0" w:line="240" w:lineRule="auto"/>
        <w:ind w:firstLine="240"/>
        <w:jc w:val="both"/>
        <w:rPr>
          <w:rFonts w:ascii="Arial Narrow" w:eastAsia="Times New Roman" w:hAnsi="Arial Narrow" w:cs="Arial"/>
          <w:color w:val="000000"/>
          <w:lang w:val="sr-Latn-ME"/>
        </w:rPr>
      </w:pPr>
    </w:p>
    <w:p w:rsidR="00D833AB" w:rsidRPr="00D833AB" w:rsidRDefault="00D833AB" w:rsidP="00D833AB">
      <w:pPr>
        <w:spacing w:after="0" w:line="240" w:lineRule="auto"/>
        <w:jc w:val="center"/>
        <w:rPr>
          <w:rFonts w:ascii="Arial Narrow" w:eastAsia="Times New Roman" w:hAnsi="Arial Narrow" w:cs="Arial"/>
          <w:b/>
          <w:bCs/>
          <w:color w:val="000000"/>
          <w:lang w:val="sr-Latn-ME"/>
        </w:rPr>
      </w:pPr>
      <w:r w:rsidRPr="00D833AB">
        <w:rPr>
          <w:rFonts w:ascii="Arial Narrow" w:eastAsia="Times New Roman" w:hAnsi="Arial Narrow" w:cs="Arial"/>
          <w:b/>
          <w:bCs/>
          <w:color w:val="000000"/>
          <w:lang w:val="sr-Latn-ME"/>
        </w:rPr>
        <w:t>Član 207 stav 1</w:t>
      </w:r>
    </w:p>
    <w:p w:rsidR="00D833AB" w:rsidRPr="00D833AB" w:rsidRDefault="00D833AB" w:rsidP="00D833AB">
      <w:pPr>
        <w:spacing w:after="0" w:line="240" w:lineRule="auto"/>
        <w:ind w:firstLine="720"/>
        <w:jc w:val="both"/>
        <w:rPr>
          <w:rFonts w:ascii="Arial Narrow" w:eastAsia="Times New Roman" w:hAnsi="Arial Narrow" w:cs="Arial"/>
          <w:color w:val="000000"/>
          <w:lang w:val="sr-Latn-ME"/>
        </w:rPr>
      </w:pPr>
      <w:r w:rsidRPr="00D833AB">
        <w:rPr>
          <w:rFonts w:ascii="Arial Narrow" w:eastAsia="Times New Roman" w:hAnsi="Arial Narrow" w:cs="Arial"/>
          <w:color w:val="000000"/>
          <w:lang w:val="sr-Latn-ME"/>
        </w:rPr>
        <w:t>Za pretrpljene fizičke bolove, za pretrpljene duševne bolove zbog umanjenja životne aktivnosti, naruženosti, povrede ugleda, časti, slobode ili prava ličnosti, smrti bliskog lica, kao i za strah sud će, ako nađe da okolnosti slučaja, a naročito jačina bolova i straha i njihovo trajanje to opravdava, dosuditi pravičnu novčanu naknadu, nezavisno od naknade materijalne štete kao i u njenom odsustvu.</w:t>
      </w:r>
    </w:p>
    <w:p w:rsidR="00D833AB" w:rsidRPr="00D833AB" w:rsidRDefault="00D833AB" w:rsidP="00D833AB">
      <w:pPr>
        <w:spacing w:after="0" w:line="240" w:lineRule="auto"/>
        <w:rPr>
          <w:lang w:val="sr-Latn-ME"/>
        </w:rPr>
      </w:pPr>
      <w:bookmarkStart w:id="28" w:name="SADRZAJ_082"/>
    </w:p>
    <w:p w:rsidR="00D833AB" w:rsidRPr="00D833AB" w:rsidRDefault="00D833AB" w:rsidP="00D833AB">
      <w:pPr>
        <w:spacing w:after="0" w:line="240" w:lineRule="auto"/>
        <w:ind w:left="293" w:right="52" w:firstLine="427"/>
        <w:rPr>
          <w:rFonts w:ascii="Arial Narrow" w:hAnsi="Arial Narrow"/>
          <w:b/>
          <w:sz w:val="26"/>
          <w:szCs w:val="26"/>
          <w:lang w:val="sr-Latn-ME"/>
        </w:rPr>
      </w:pPr>
      <w:r w:rsidRPr="00D833AB">
        <w:rPr>
          <w:rFonts w:ascii="Arial Narrow" w:hAnsi="Arial Narrow"/>
          <w:b/>
          <w:sz w:val="26"/>
          <w:szCs w:val="26"/>
          <w:lang w:val="sr-Latn-ME"/>
        </w:rPr>
        <w:t>V OSTALI RELEVANTNI MEĐUNARODNI DOKUMENTI</w:t>
      </w:r>
    </w:p>
    <w:p w:rsidR="00D833AB" w:rsidRPr="00D833AB" w:rsidRDefault="00D833AB" w:rsidP="00D833AB">
      <w:pPr>
        <w:spacing w:after="0" w:line="240" w:lineRule="auto"/>
        <w:ind w:left="293" w:right="52" w:firstLine="427"/>
        <w:rPr>
          <w:rFonts w:ascii="Arial Narrow" w:hAnsi="Arial Narrow"/>
          <w:b/>
          <w:sz w:val="26"/>
          <w:szCs w:val="26"/>
          <w:lang w:val="sr-Latn-ME"/>
        </w:rPr>
      </w:pPr>
    </w:p>
    <w:p w:rsidR="00D833AB" w:rsidRPr="00D833AB" w:rsidRDefault="00D833AB" w:rsidP="00D833AB">
      <w:pPr>
        <w:spacing w:after="0" w:line="240" w:lineRule="auto"/>
        <w:jc w:val="both"/>
        <w:rPr>
          <w:rFonts w:ascii="Arial Narrow" w:hAnsi="Arial Narrow"/>
          <w:lang w:val="sr-Latn-ME"/>
        </w:rPr>
      </w:pPr>
      <w:r w:rsidRPr="00D833AB">
        <w:rPr>
          <w:lang w:val="sr-Latn-ME"/>
        </w:rPr>
        <w:t xml:space="preserve"> </w:t>
      </w:r>
      <w:r w:rsidRPr="00D833AB">
        <w:rPr>
          <w:rFonts w:ascii="Arial Narrow" w:hAnsi="Arial Narrow"/>
          <w:lang w:val="sr-Latn-ME"/>
        </w:rPr>
        <w:tab/>
        <w:t xml:space="preserve">Dio I Evropske socijalne povelje (revidirana) propisuje da strane prihvataju kao cilj svoje politike, kojem teže svim odgovarajućim sredstvima, kako nacionalnim, tako i međunarodnim, postizanje uslova u kojima će brojna sredstva i principi, uključujući pravo na dostojanstvo na radnom mjestu, biti ostvareni na efikasan način. U dijelu III je propisano, </w:t>
      </w:r>
      <w:r w:rsidRPr="00D833AB">
        <w:rPr>
          <w:rFonts w:ascii="Arial Narrow" w:hAnsi="Arial Narrow"/>
          <w:i/>
          <w:lang w:val="sr-Latn-ME"/>
        </w:rPr>
        <w:t>inter alia</w:t>
      </w:r>
      <w:r w:rsidRPr="00D833AB">
        <w:rPr>
          <w:rFonts w:ascii="Arial Narrow" w:hAnsi="Arial Narrow"/>
          <w:lang w:val="sr-Latn-ME"/>
        </w:rPr>
        <w:t xml:space="preserve">, da se svaka strana ugovornica obavezuje da smatra dio I Povelje kao izjavu o ciljevima koje će sprovoditi svim odgovarajućim sredstvima. </w:t>
      </w:r>
    </w:p>
    <w:p w:rsidR="00D833AB" w:rsidRPr="00D833AB" w:rsidRDefault="00D833AB" w:rsidP="00D833AB">
      <w:pPr>
        <w:spacing w:after="0" w:line="240" w:lineRule="auto"/>
        <w:ind w:firstLine="720"/>
        <w:jc w:val="both"/>
        <w:rPr>
          <w:rFonts w:ascii="Arial Narrow" w:hAnsi="Arial Narrow"/>
          <w:lang w:val="sr-Latn-ME"/>
        </w:rPr>
      </w:pPr>
      <w:r w:rsidRPr="00D833AB">
        <w:rPr>
          <w:rFonts w:ascii="Arial Narrow" w:hAnsi="Arial Narrow"/>
          <w:lang w:val="sr-Latn-ME"/>
        </w:rPr>
        <w:t xml:space="preserve">Članom 26 propisuje se pravo na dostojanstvo na radnom mjestu. Konkretno, u stavu 2 je predviđeno da se, u cilju obezbjeđivanja efikasnog ostvarivanja prava svih radnika na zaštitu njihovog dostojanstva na radu, strane ugovornice obavezuju da, u konsultacijama sa organizacijama poslodavaca i radnika unaprjeđuju svijest, informisanost i da sprječavaju ponavljano neprihvatljivo ili izrazito negativno i uvrjedljivo ponašanje protiv </w:t>
      </w:r>
      <w:r w:rsidRPr="00D833AB">
        <w:rPr>
          <w:rFonts w:ascii="Arial Narrow" w:hAnsi="Arial Narrow"/>
          <w:lang w:val="sr-Latn-ME"/>
        </w:rPr>
        <w:lastRenderedPageBreak/>
        <w:t xml:space="preserve">pojedinih radnika na radnom mjestu ili u vezi sa poslom, kao i da preduzmu sve odgovarajuće mjere da zaštite radnike od takvog ponašanja. </w:t>
      </w:r>
    </w:p>
    <w:p w:rsidR="00D833AB" w:rsidRPr="00D833AB" w:rsidRDefault="00D833AB" w:rsidP="00D833AB">
      <w:pPr>
        <w:spacing w:after="0" w:line="240" w:lineRule="auto"/>
        <w:ind w:firstLine="720"/>
        <w:jc w:val="both"/>
        <w:rPr>
          <w:rFonts w:ascii="Arial Narrow" w:hAnsi="Arial Narrow"/>
          <w:lang w:val="sr-Latn-ME"/>
        </w:rPr>
      </w:pPr>
      <w:r w:rsidRPr="00D833AB">
        <w:rPr>
          <w:rFonts w:ascii="Arial Narrow" w:hAnsi="Arial Narrow"/>
          <w:lang w:val="sr-Latn-ME"/>
        </w:rPr>
        <w:t xml:space="preserve">Crna Gora je ratifikovala Evropsku socijalnu povelju (revidiranu) oglašavajući se zakonski obavezanom da prihvati određen broj njenih odredbi, iako član 26 stav 2 nije među njima. </w:t>
      </w:r>
    </w:p>
    <w:p w:rsidR="00D833AB" w:rsidRPr="00D833AB" w:rsidRDefault="00D833AB" w:rsidP="00D833AB">
      <w:pPr>
        <w:spacing w:after="0" w:line="240" w:lineRule="auto"/>
        <w:ind w:firstLine="720"/>
        <w:jc w:val="both"/>
        <w:rPr>
          <w:rFonts w:ascii="Arial Narrow" w:hAnsi="Arial Narrow"/>
          <w:lang w:val="sr-Latn-ME"/>
        </w:rPr>
      </w:pPr>
      <w:r w:rsidRPr="00D833AB">
        <w:rPr>
          <w:rFonts w:ascii="Arial Narrow" w:hAnsi="Arial Narrow"/>
          <w:lang w:val="sr-Latn-ME"/>
        </w:rPr>
        <w:t xml:space="preserve">Dana 21. juna 2019. godine Međunarodna organizacija rada Ujedinjenih nacija (MOR), usvojila je Konvenciju o eliminaciji nasilja i uznemiravanja na radu. Konvencija je stupila na snagu 25. juna 2021. godine. Crna Gora je nije ratifikovala. </w:t>
      </w:r>
    </w:p>
    <w:p w:rsidR="00D833AB" w:rsidRPr="00D833AB" w:rsidRDefault="00D833AB" w:rsidP="00D833AB">
      <w:pPr>
        <w:spacing w:after="0" w:line="240" w:lineRule="auto"/>
        <w:ind w:firstLine="720"/>
        <w:jc w:val="both"/>
        <w:rPr>
          <w:rFonts w:ascii="Arial Narrow" w:hAnsi="Arial Narrow"/>
          <w:lang w:val="sr-Latn-ME"/>
        </w:rPr>
      </w:pPr>
    </w:p>
    <w:p w:rsidR="00D833AB" w:rsidRPr="00D833AB" w:rsidRDefault="00D833AB" w:rsidP="00D833AB">
      <w:pPr>
        <w:shd w:val="clear" w:color="auto" w:fill="FFFFFF"/>
        <w:spacing w:after="0" w:line="240" w:lineRule="auto"/>
        <w:ind w:right="-244" w:firstLine="360"/>
        <w:contextualSpacing/>
        <w:jc w:val="both"/>
        <w:rPr>
          <w:rFonts w:ascii="Arial Narrow" w:hAnsi="Arial Narrow" w:cs="Arial"/>
          <w:b/>
          <w:sz w:val="26"/>
          <w:szCs w:val="26"/>
          <w:lang w:val="sr-Latn-ME"/>
        </w:rPr>
      </w:pPr>
      <w:r w:rsidRPr="00D833AB">
        <w:rPr>
          <w:rFonts w:ascii="Arial Narrow" w:hAnsi="Arial Narrow"/>
          <w:b/>
          <w:sz w:val="26"/>
          <w:szCs w:val="26"/>
          <w:lang w:val="sr-Latn-ME"/>
        </w:rPr>
        <w:tab/>
        <w:t xml:space="preserve">VI </w:t>
      </w:r>
      <w:r w:rsidRPr="00D833AB">
        <w:rPr>
          <w:rFonts w:ascii="Arial Narrow" w:hAnsi="Arial Narrow" w:cs="Arial"/>
          <w:b/>
          <w:sz w:val="26"/>
          <w:szCs w:val="26"/>
          <w:lang w:val="sr-Latn-ME"/>
        </w:rPr>
        <w:t>PRAVO NA PRIVATNI ŽIVOT</w:t>
      </w:r>
    </w:p>
    <w:p w:rsidR="00D833AB" w:rsidRPr="00D833AB" w:rsidRDefault="00D833AB" w:rsidP="00D833AB">
      <w:pPr>
        <w:shd w:val="clear" w:color="auto" w:fill="FFFFFF"/>
        <w:spacing w:after="0" w:line="240" w:lineRule="auto"/>
        <w:ind w:right="-244" w:firstLine="360"/>
        <w:contextualSpacing/>
        <w:jc w:val="both"/>
        <w:rPr>
          <w:rFonts w:ascii="Arial Narrow" w:hAnsi="Arial Narrow" w:cs="Arial"/>
          <w:b/>
          <w:sz w:val="26"/>
          <w:szCs w:val="26"/>
          <w:lang w:val="sr-Latn-ME"/>
        </w:rPr>
      </w:pPr>
    </w:p>
    <w:p w:rsidR="00D833AB" w:rsidRPr="00D833AB" w:rsidRDefault="00D833AB" w:rsidP="00D833AB">
      <w:pPr>
        <w:shd w:val="clear" w:color="auto" w:fill="FFFFFF"/>
        <w:spacing w:after="0" w:line="240" w:lineRule="auto"/>
        <w:ind w:right="-244" w:firstLine="720"/>
        <w:jc w:val="both"/>
        <w:rPr>
          <w:rFonts w:ascii="Arial Narrow" w:hAnsi="Arial Narrow" w:cs="Arial"/>
          <w:b/>
          <w:sz w:val="26"/>
          <w:szCs w:val="26"/>
          <w:lang w:val="sr-Latn-ME"/>
        </w:rPr>
      </w:pPr>
      <w:r w:rsidRPr="00D833AB">
        <w:rPr>
          <w:rFonts w:ascii="Arial Narrow" w:hAnsi="Arial Narrow" w:cs="Arial"/>
          <w:b/>
          <w:sz w:val="26"/>
          <w:szCs w:val="26"/>
          <w:lang w:val="sr-Latn-ME"/>
        </w:rPr>
        <w:t xml:space="preserve">Primenjiivost </w:t>
      </w:r>
    </w:p>
    <w:p w:rsidR="00D833AB" w:rsidRPr="00D833AB" w:rsidRDefault="00D833AB" w:rsidP="00D833AB">
      <w:pPr>
        <w:shd w:val="clear" w:color="auto" w:fill="FFFFFF"/>
        <w:spacing w:after="0" w:line="240" w:lineRule="auto"/>
        <w:ind w:right="-244" w:firstLine="720"/>
        <w:jc w:val="both"/>
        <w:rPr>
          <w:rFonts w:ascii="Arial Narrow" w:hAnsi="Arial Narrow" w:cs="Arial"/>
          <w:b/>
          <w:sz w:val="26"/>
          <w:szCs w:val="26"/>
          <w:lang w:val="sr-Latn-ME"/>
        </w:rPr>
      </w:pPr>
    </w:p>
    <w:p w:rsidR="00D833AB" w:rsidRPr="00D833AB" w:rsidRDefault="00D833AB" w:rsidP="00D833AB">
      <w:pPr>
        <w:shd w:val="clear" w:color="auto" w:fill="FFFFFF"/>
        <w:spacing w:after="0" w:line="240" w:lineRule="auto"/>
        <w:ind w:right="-83" w:firstLine="360"/>
        <w:contextualSpacing/>
        <w:jc w:val="both"/>
        <w:rPr>
          <w:rFonts w:ascii="Arial Narrow" w:hAnsi="Arial Narrow"/>
          <w:sz w:val="26"/>
          <w:szCs w:val="26"/>
          <w:lang w:val="sr-Latn-ME"/>
        </w:rPr>
      </w:pPr>
      <w:r w:rsidRPr="00D833AB">
        <w:rPr>
          <w:rFonts w:ascii="Arial Narrow" w:hAnsi="Arial Narrow"/>
          <w:b/>
          <w:sz w:val="26"/>
          <w:szCs w:val="26"/>
          <w:lang w:val="sr-Latn-ME"/>
        </w:rPr>
        <w:tab/>
        <w:t>13.</w:t>
      </w:r>
      <w:r w:rsidRPr="00D833AB">
        <w:rPr>
          <w:rFonts w:ascii="Arial Narrow" w:hAnsi="Arial Narrow"/>
          <w:sz w:val="26"/>
          <w:szCs w:val="26"/>
          <w:lang w:val="sr-Latn-ME"/>
        </w:rPr>
        <w:t xml:space="preserve"> Slijedeći praksu Evropskog suda za ljudska prava u Strazburu, Ustavni sud je, već, utvrdio, u različitim kontekstima, da je koncept privatnog života širok pojam koji se </w:t>
      </w:r>
      <w:r w:rsidRPr="00D833AB">
        <w:rPr>
          <w:rFonts w:ascii="Arial Narrow" w:eastAsia="Calibri" w:hAnsi="Arial Narrow" w:cs="Arial"/>
          <w:sz w:val="26"/>
          <w:szCs w:val="26"/>
          <w:lang w:val="sr-Latn-ME"/>
        </w:rPr>
        <w:t>ne može iscrpno definisati</w:t>
      </w:r>
      <w:r w:rsidRPr="00D833AB">
        <w:rPr>
          <w:rFonts w:ascii="Arial Narrow" w:hAnsi="Arial Narrow"/>
          <w:sz w:val="26"/>
          <w:szCs w:val="26"/>
          <w:vertAlign w:val="superscript"/>
          <w:lang w:val="sr-Latn-ME"/>
        </w:rPr>
        <w:t xml:space="preserve"> </w:t>
      </w:r>
      <w:r w:rsidRPr="00D833AB">
        <w:rPr>
          <w:rFonts w:ascii="Arial Narrow" w:hAnsi="Arial Narrow"/>
          <w:sz w:val="26"/>
          <w:szCs w:val="26"/>
          <w:vertAlign w:val="superscript"/>
          <w:lang w:val="sr-Latn-ME"/>
        </w:rPr>
        <w:footnoteReference w:id="1"/>
      </w:r>
      <w:r w:rsidRPr="00D833AB">
        <w:rPr>
          <w:rFonts w:ascii="Arial Narrow" w:hAnsi="Arial Narrow"/>
          <w:sz w:val="26"/>
          <w:szCs w:val="26"/>
          <w:lang w:val="sr-Latn-ME"/>
        </w:rPr>
        <w:t xml:space="preserve">. </w:t>
      </w:r>
      <w:r w:rsidRPr="00D833AB">
        <w:rPr>
          <w:rFonts w:ascii="Arial Narrow" w:eastAsia="Calibri" w:hAnsi="Arial Narrow" w:cs="Arial"/>
          <w:sz w:val="26"/>
          <w:szCs w:val="26"/>
          <w:lang w:val="sr-Latn-ME"/>
        </w:rPr>
        <w:t>Ograničenja u profesionalnom životu mogu potpadati pod član 8 Konvencije, kada utiču na način na koji pojedinac gradi svoj društveni identitet kroz razvoj odnosa sa drugim ljudima. U vezi s tim, treba napomenuti da, upravo, u kontekstu svog posla, većina ljudi ima mnogo, ako ne i maksimalne, mogućnosti da ojača svoje veze sa spoljnim svijetom.</w:t>
      </w:r>
      <w:r w:rsidRPr="00D833AB">
        <w:rPr>
          <w:rFonts w:ascii="Arial Narrow" w:eastAsia="Calibri" w:hAnsi="Arial Narrow" w:cs="Arial"/>
          <w:sz w:val="26"/>
          <w:szCs w:val="26"/>
          <w:vertAlign w:val="superscript"/>
          <w:lang w:val="sr-Latn-ME"/>
        </w:rPr>
        <w:footnoteReference w:id="2"/>
      </w:r>
      <w:r w:rsidRPr="00D833AB">
        <w:rPr>
          <w:rFonts w:ascii="Arial Narrow" w:eastAsia="Calibri" w:hAnsi="Arial Narrow" w:cs="Arial"/>
          <w:sz w:val="26"/>
          <w:szCs w:val="26"/>
          <w:lang w:val="sr-Latn-ME"/>
        </w:rPr>
        <w:t xml:space="preserve"> Štaviše, profesionalni život se veoma često preklapa sa privatnim životom u strogom smislu te riječi, tako da nije uvijek lako razlikovati u kom svojstvu pojedinac djeluje u datom trenutku. Ukratko, profesionalni život dio je one oblasti interakcije između pojedinca i drugih koja, čak i u javnom kontekstu, može spadati u okvir „privatnog života“.</w:t>
      </w:r>
      <w:r w:rsidRPr="00D833AB">
        <w:rPr>
          <w:rFonts w:ascii="Arial Narrow" w:eastAsia="Calibri" w:hAnsi="Arial Narrow" w:cs="Arial"/>
          <w:sz w:val="26"/>
          <w:szCs w:val="26"/>
          <w:vertAlign w:val="superscript"/>
          <w:lang w:val="sr-Latn-ME"/>
        </w:rPr>
        <w:footnoteReference w:id="3"/>
      </w:r>
    </w:p>
    <w:p w:rsidR="00D833AB" w:rsidRPr="00D833AB" w:rsidRDefault="00D833AB" w:rsidP="00D833AB">
      <w:pPr>
        <w:shd w:val="clear" w:color="auto" w:fill="FFFFFF"/>
        <w:spacing w:after="0" w:line="240" w:lineRule="auto"/>
        <w:ind w:right="-244" w:firstLine="360"/>
        <w:contextualSpacing/>
        <w:jc w:val="both"/>
        <w:rPr>
          <w:rFonts w:ascii="Arial Narrow" w:hAnsi="Arial Narrow"/>
          <w:sz w:val="26"/>
          <w:szCs w:val="26"/>
          <w:lang w:val="sr-Latn-ME"/>
        </w:rPr>
      </w:pPr>
    </w:p>
    <w:p w:rsidR="00D833AB" w:rsidRPr="00D833AB" w:rsidRDefault="00D833AB" w:rsidP="00D833AB">
      <w:pPr>
        <w:shd w:val="clear" w:color="auto" w:fill="FFFFFF"/>
        <w:spacing w:after="0" w:line="240" w:lineRule="auto"/>
        <w:ind w:right="-83" w:firstLine="360"/>
        <w:contextualSpacing/>
        <w:jc w:val="both"/>
        <w:rPr>
          <w:rFonts w:ascii="Arial Narrow" w:eastAsia="Calibri" w:hAnsi="Arial Narrow" w:cs="Arial"/>
          <w:sz w:val="26"/>
          <w:szCs w:val="26"/>
          <w:lang w:val="sr-Latn-ME"/>
        </w:rPr>
      </w:pPr>
      <w:r w:rsidRPr="00D833AB">
        <w:rPr>
          <w:rFonts w:ascii="Arial Narrow" w:hAnsi="Arial Narrow"/>
          <w:b/>
          <w:sz w:val="26"/>
          <w:szCs w:val="26"/>
          <w:lang w:val="sr-Latn-ME"/>
        </w:rPr>
        <w:tab/>
        <w:t>14</w:t>
      </w:r>
      <w:r w:rsidRPr="00D833AB">
        <w:rPr>
          <w:rFonts w:ascii="Arial Narrow" w:hAnsi="Arial Narrow"/>
          <w:sz w:val="26"/>
          <w:szCs w:val="26"/>
          <w:lang w:val="sr-Latn-ME"/>
        </w:rPr>
        <w:t>. Koncept privatnog života obuhvata fizički i psihički integritet lica</w:t>
      </w:r>
      <w:r w:rsidRPr="00D833AB">
        <w:rPr>
          <w:rFonts w:ascii="Arial Narrow" w:hAnsi="Arial Narrow"/>
          <w:sz w:val="26"/>
          <w:szCs w:val="26"/>
          <w:vertAlign w:val="superscript"/>
          <w:lang w:val="sr-Latn-ME"/>
        </w:rPr>
        <w:footnoteReference w:id="4"/>
      </w:r>
      <w:r w:rsidRPr="00D833AB">
        <w:rPr>
          <w:rFonts w:ascii="Arial Narrow" w:hAnsi="Arial Narrow"/>
          <w:sz w:val="26"/>
          <w:szCs w:val="26"/>
          <w:lang w:val="sr-Latn-ME"/>
        </w:rPr>
        <w:t xml:space="preserve"> i proširuje se na druge vrijednosti kao što su dobrobit i dostojanstvo, razvoj ličnosti i odnosi sa drugim ljudima</w:t>
      </w:r>
      <w:r w:rsidRPr="00D833AB">
        <w:rPr>
          <w:rFonts w:ascii="Arial Narrow" w:hAnsi="Arial Narrow"/>
          <w:sz w:val="26"/>
          <w:szCs w:val="26"/>
          <w:vertAlign w:val="superscript"/>
          <w:lang w:val="sr-Latn-ME"/>
        </w:rPr>
        <w:footnoteReference w:id="5"/>
      </w:r>
      <w:r w:rsidRPr="00D833AB">
        <w:rPr>
          <w:rFonts w:ascii="Arial Narrow" w:hAnsi="Arial Narrow"/>
          <w:sz w:val="26"/>
          <w:szCs w:val="26"/>
          <w:lang w:val="sr-Latn-ME"/>
        </w:rPr>
        <w:t>. Ipak, kako bi se član 8 Konvencije primijenio, napad na osobu mora dostići određen nivo ozbiljnosti i učinjen na način da nanese štetu ličnom uživanju prava na poštovanje privatnog života.</w:t>
      </w:r>
      <w:r w:rsidRPr="00D833AB">
        <w:rPr>
          <w:rFonts w:ascii="Arial Narrow" w:hAnsi="Arial Narrow"/>
          <w:sz w:val="26"/>
          <w:szCs w:val="26"/>
          <w:vertAlign w:val="superscript"/>
          <w:lang w:val="sr-Latn-ME"/>
        </w:rPr>
        <w:footnoteReference w:id="6"/>
      </w:r>
      <w:r w:rsidRPr="00D833AB">
        <w:rPr>
          <w:rFonts w:ascii="Arial Narrow" w:hAnsi="Arial Narrow"/>
          <w:sz w:val="26"/>
          <w:szCs w:val="26"/>
          <w:lang w:val="sr-Latn-ME"/>
        </w:rPr>
        <w:t xml:space="preserve"> Neće svako postupanje ili mjera koji negativno utiču na moralni integritet osobe, predstavljati takvo miješanje.</w:t>
      </w:r>
      <w:r w:rsidRPr="00D833AB">
        <w:rPr>
          <w:rFonts w:ascii="Arial Narrow" w:hAnsi="Arial Narrow"/>
          <w:sz w:val="26"/>
          <w:szCs w:val="26"/>
          <w:vertAlign w:val="superscript"/>
          <w:lang w:val="sr-Latn-ME"/>
        </w:rPr>
        <w:footnoteReference w:id="7"/>
      </w:r>
    </w:p>
    <w:p w:rsidR="00D833AB" w:rsidRPr="00D833AB" w:rsidRDefault="00D833AB" w:rsidP="00D833AB">
      <w:pPr>
        <w:spacing w:after="0" w:line="240" w:lineRule="auto"/>
        <w:ind w:right="52" w:firstLine="283"/>
        <w:jc w:val="both"/>
        <w:rPr>
          <w:rFonts w:ascii="Arial Narrow" w:hAnsi="Arial Narrow"/>
          <w:sz w:val="26"/>
          <w:szCs w:val="26"/>
          <w:lang w:val="sr-Latn-ME"/>
        </w:rPr>
      </w:pPr>
    </w:p>
    <w:p w:rsidR="00D833AB" w:rsidRPr="00D833AB" w:rsidRDefault="00D833AB" w:rsidP="00D833AB">
      <w:pPr>
        <w:shd w:val="clear" w:color="auto" w:fill="FFFFFF"/>
        <w:spacing w:after="240" w:line="240" w:lineRule="auto"/>
        <w:jc w:val="both"/>
        <w:textAlignment w:val="top"/>
        <w:rPr>
          <w:rFonts w:ascii="Arial Narrow" w:eastAsia="Times New Roman" w:hAnsi="Arial Narrow" w:cs="Times New Roman"/>
          <w:sz w:val="26"/>
          <w:szCs w:val="26"/>
          <w:lang w:val="sr-Latn-ME"/>
        </w:rPr>
      </w:pPr>
      <w:r w:rsidRPr="00D833AB">
        <w:rPr>
          <w:rFonts w:ascii="Arial Narrow" w:hAnsi="Arial Narrow"/>
          <w:b/>
          <w:sz w:val="26"/>
          <w:szCs w:val="26"/>
          <w:lang w:val="sr-Latn-ME"/>
        </w:rPr>
        <w:tab/>
        <w:t>15.</w:t>
      </w:r>
      <w:r w:rsidRPr="00D833AB">
        <w:rPr>
          <w:rFonts w:ascii="Arial Narrow" w:hAnsi="Arial Narrow"/>
          <w:sz w:val="26"/>
          <w:szCs w:val="26"/>
          <w:lang w:val="sr-Latn-ME"/>
        </w:rPr>
        <w:t xml:space="preserve"> U konkretnom predmetu, podnositeljka ustavne žalbe je smatrala da je tokom dužeg </w:t>
      </w:r>
      <w:r w:rsidRPr="00D833AB">
        <w:rPr>
          <w:rFonts w:ascii="Arial Narrow" w:eastAsia="Calibri" w:hAnsi="Arial Narrow" w:cs="Calibri"/>
          <w:sz w:val="26"/>
          <w:szCs w:val="26"/>
          <w:lang w:val="sr-Latn-ME"/>
        </w:rPr>
        <w:t>perioda na poslu bila izložena patnjama</w:t>
      </w:r>
      <w:r w:rsidRPr="00D833AB">
        <w:rPr>
          <w:rFonts w:ascii="Arial Narrow" w:hAnsi="Arial Narrow"/>
          <w:sz w:val="26"/>
          <w:szCs w:val="26"/>
          <w:lang w:val="sr-Latn-ME"/>
        </w:rPr>
        <w:t xml:space="preserve">, koje su rezultat spornih incidenata navodno pripisanih njenom pretpostavljenom, žaleći se da je sudovi nijesu zaštitili. Mišljenje vještaka dato tokom predmetnog parničnog postupaka potvrđuje </w:t>
      </w:r>
      <w:r w:rsidRPr="00D833AB">
        <w:rPr>
          <w:rFonts w:ascii="Arial Narrow" w:eastAsia="Times New Roman" w:hAnsi="Arial Narrow" w:cs="Times New Roman"/>
          <w:sz w:val="26"/>
          <w:szCs w:val="26"/>
          <w:lang w:val="sr-Latn-ME"/>
        </w:rPr>
        <w:t xml:space="preserve">da je zbog konfliktnih odnosa na radnom mjestu podnositeljka ustavne žalbe liječena i da je ispoljavala simptome posttraumatskog stresnog poremećaja i poremećaja prilagođavanja, sa dominantnim simptomima anksiozno depresivnog poremećaja, a psihički simptomi se uzročno povezuju sa konfliktima na radnom mjestu, koje tužilja shvata kao zlostavljanje na radu. Vještak je mišljenja da je podnositeljka ustavne žalbe trpjela duševne bolove jakog intenziteta kratkog trajanja u okolnostima neposrednog konflikta u ukupnom vremenskom periodu od 14 dana (period akutnih stresogenih reakcija), povremene duševne bolove srednjeg intenziteta u periodu od mjesec dana, a bolove blagog intenziteta tužilja će trpjeti povremeno u vremenskom periodu </w:t>
      </w:r>
      <w:r w:rsidRPr="00D833AB">
        <w:rPr>
          <w:rFonts w:ascii="Arial Narrow" w:eastAsia="Times New Roman" w:hAnsi="Arial Narrow" w:cs="Times New Roman"/>
          <w:sz w:val="26"/>
          <w:szCs w:val="26"/>
          <w:lang w:val="sr-Latn-ME"/>
        </w:rPr>
        <w:lastRenderedPageBreak/>
        <w:t xml:space="preserve">do rješavanja konfliktnih odnosa. Obzirom, da se kod podnositeljke radi o posttraumatskom stresnom poremećaju sa simptomima anksiozno depresivnog sindroma, bez psihotičnih epizoda, ovaj vid duševnog poremećaja nije ostavio trajne posljedice na psihički život podnositeljke, ali je narušio njenu duševnu ravnotežu i dalje je narušava zbog još uvijek neriješenih konfliktnih odnosa iz sudskog procesa. Vještak je naveo da je subjektivno doživljavanje podnositeljke moralno zlostavljanje i ponižavanje, kao i ugrožavanje njenog ugleda i časti, dostojanstva i prava ličnosti zbog pretrpljenog mobinga na radnom mjestu. </w:t>
      </w:r>
      <w:r w:rsidRPr="00D833AB">
        <w:rPr>
          <w:rFonts w:ascii="Arial Narrow" w:hAnsi="Arial Narrow"/>
          <w:sz w:val="26"/>
          <w:szCs w:val="26"/>
          <w:lang w:val="sr-Latn-ME"/>
        </w:rPr>
        <w:t xml:space="preserve">Sud smatra da se, pod takvim okolnostima, uzročna veza između spornih incidenata i navodne manjkave reakcije relevantnih organa, sa jedne strane, i psihičkih problema podnosioca ustavne žalbe, sa druge strane, može smatrati jasno utvrđenom. </w:t>
      </w:r>
    </w:p>
    <w:p w:rsidR="00D833AB" w:rsidRPr="00D833AB" w:rsidRDefault="00D833AB" w:rsidP="00D833AB">
      <w:pPr>
        <w:spacing w:after="0" w:line="240" w:lineRule="auto"/>
        <w:ind w:right="52" w:firstLine="283"/>
        <w:jc w:val="both"/>
        <w:rPr>
          <w:rFonts w:ascii="Arial Narrow" w:hAnsi="Arial Narrow"/>
          <w:sz w:val="26"/>
          <w:szCs w:val="26"/>
          <w:lang w:val="sr-Latn-ME"/>
        </w:rPr>
      </w:pPr>
      <w:r w:rsidRPr="00D833AB">
        <w:rPr>
          <w:rFonts w:ascii="Arial Narrow" w:hAnsi="Arial Narrow"/>
          <w:b/>
          <w:sz w:val="26"/>
          <w:szCs w:val="26"/>
          <w:lang w:val="sr-Latn-ME"/>
        </w:rPr>
        <w:tab/>
        <w:t>16.</w:t>
      </w:r>
      <w:r w:rsidRPr="00D833AB">
        <w:rPr>
          <w:rFonts w:ascii="Arial Narrow" w:hAnsi="Arial Narrow"/>
          <w:sz w:val="26"/>
          <w:szCs w:val="26"/>
          <w:lang w:val="sr-Latn-ME"/>
        </w:rPr>
        <w:t xml:space="preserve"> Pod ovim okolnostima, Sud je utvrdio da je postupanje, na koje se žalila podnositeljka ustavne žalbe, dostiglo prag primjenjivosti člana 8 Konvencije. </w:t>
      </w:r>
    </w:p>
    <w:p w:rsidR="00D833AB" w:rsidRPr="00D833AB" w:rsidRDefault="00D833AB" w:rsidP="00D833AB">
      <w:pPr>
        <w:spacing w:after="0" w:line="240" w:lineRule="auto"/>
        <w:ind w:right="52" w:firstLine="283"/>
        <w:jc w:val="both"/>
        <w:rPr>
          <w:rFonts w:ascii="Arial Narrow" w:hAnsi="Arial Narrow"/>
          <w:b/>
          <w:sz w:val="26"/>
          <w:szCs w:val="26"/>
          <w:lang w:val="sr-Latn-ME"/>
        </w:rPr>
      </w:pPr>
    </w:p>
    <w:p w:rsidR="00D833AB" w:rsidRPr="00D833AB" w:rsidRDefault="00D833AB" w:rsidP="00D833AB">
      <w:pPr>
        <w:spacing w:after="0" w:line="240" w:lineRule="auto"/>
        <w:ind w:right="52" w:firstLine="283"/>
        <w:jc w:val="both"/>
        <w:rPr>
          <w:rFonts w:ascii="Arial Narrow" w:hAnsi="Arial Narrow"/>
          <w:b/>
          <w:sz w:val="26"/>
          <w:szCs w:val="26"/>
          <w:lang w:val="sr-Latn-ME"/>
        </w:rPr>
      </w:pPr>
      <w:r w:rsidRPr="00D833AB">
        <w:rPr>
          <w:rFonts w:ascii="Arial Narrow" w:hAnsi="Arial Narrow"/>
          <w:b/>
          <w:sz w:val="26"/>
          <w:szCs w:val="26"/>
          <w:lang w:val="sr-Latn-ME"/>
        </w:rPr>
        <w:tab/>
        <w:t xml:space="preserve">Osnovanost </w:t>
      </w:r>
    </w:p>
    <w:p w:rsidR="00D833AB" w:rsidRPr="00D833AB" w:rsidRDefault="00D833AB" w:rsidP="00D833AB">
      <w:pPr>
        <w:spacing w:after="0" w:line="240" w:lineRule="auto"/>
        <w:ind w:right="52" w:firstLine="283"/>
        <w:jc w:val="both"/>
        <w:rPr>
          <w:rFonts w:ascii="Arial Narrow" w:hAnsi="Arial Narrow"/>
          <w:b/>
          <w:sz w:val="26"/>
          <w:szCs w:val="26"/>
          <w:lang w:val="sr-Latn-ME"/>
        </w:rPr>
      </w:pPr>
    </w:p>
    <w:p w:rsidR="00D833AB" w:rsidRPr="00D833AB" w:rsidRDefault="00D833AB" w:rsidP="00D833AB">
      <w:pPr>
        <w:spacing w:after="0" w:line="240" w:lineRule="auto"/>
        <w:ind w:left="643" w:right="52"/>
        <w:contextualSpacing/>
        <w:jc w:val="both"/>
        <w:rPr>
          <w:rFonts w:ascii="Arial Narrow" w:hAnsi="Arial Narrow"/>
          <w:b/>
          <w:sz w:val="26"/>
          <w:szCs w:val="26"/>
          <w:lang w:val="sr-Latn-ME"/>
        </w:rPr>
      </w:pPr>
      <w:r w:rsidRPr="00D833AB">
        <w:rPr>
          <w:rFonts w:ascii="Arial Narrow" w:hAnsi="Arial Narrow"/>
          <w:b/>
          <w:sz w:val="26"/>
          <w:szCs w:val="26"/>
          <w:lang w:val="sr-Latn-ME"/>
        </w:rPr>
        <w:t xml:space="preserve">  a) Opšta načela</w:t>
      </w:r>
    </w:p>
    <w:p w:rsidR="00D833AB" w:rsidRPr="00D833AB" w:rsidRDefault="00D833AB" w:rsidP="00D833AB">
      <w:pPr>
        <w:spacing w:after="0" w:line="240" w:lineRule="auto"/>
        <w:ind w:right="52"/>
        <w:jc w:val="both"/>
        <w:rPr>
          <w:rFonts w:ascii="Arial Narrow" w:hAnsi="Arial Narrow"/>
          <w:sz w:val="26"/>
          <w:szCs w:val="26"/>
          <w:lang w:val="sr-Latn-ME"/>
        </w:rPr>
      </w:pPr>
    </w:p>
    <w:p w:rsidR="00D833AB" w:rsidRPr="00D833AB" w:rsidRDefault="00D833AB" w:rsidP="00D833AB">
      <w:pPr>
        <w:spacing w:after="0" w:line="240" w:lineRule="auto"/>
        <w:ind w:firstLine="283"/>
        <w:jc w:val="both"/>
        <w:rPr>
          <w:rFonts w:ascii="Arial Narrow" w:hAnsi="Arial Narrow"/>
          <w:i/>
          <w:sz w:val="26"/>
          <w:szCs w:val="26"/>
          <w:lang w:val="sr-Latn-ME"/>
        </w:rPr>
      </w:pPr>
      <w:r w:rsidRPr="00D833AB">
        <w:rPr>
          <w:rFonts w:ascii="Arial Narrow" w:hAnsi="Arial Narrow"/>
          <w:b/>
          <w:sz w:val="26"/>
          <w:szCs w:val="26"/>
          <w:lang w:val="sr-Latn-ME"/>
        </w:rPr>
        <w:tab/>
        <w:t xml:space="preserve">17. </w:t>
      </w:r>
      <w:r w:rsidRPr="00D833AB">
        <w:rPr>
          <w:rFonts w:ascii="Arial Narrow" w:hAnsi="Arial Narrow"/>
          <w:sz w:val="26"/>
          <w:szCs w:val="26"/>
          <w:lang w:val="sr-Latn-ME"/>
        </w:rPr>
        <w:t xml:space="preserve">Relevantni principi za ovaj predmet dati su u predmetu </w:t>
      </w:r>
      <w:r w:rsidRPr="00D833AB">
        <w:rPr>
          <w:rFonts w:ascii="Arial Narrow" w:hAnsi="Arial Narrow"/>
          <w:i/>
          <w:sz w:val="26"/>
          <w:szCs w:val="26"/>
          <w:lang w:val="sr-Latn-ME"/>
        </w:rPr>
        <w:t>Špadijer protiv Crne Gore</w:t>
      </w:r>
      <w:r w:rsidRPr="00D833AB">
        <w:rPr>
          <w:rFonts w:ascii="Arial Narrow" w:hAnsi="Arial Narrow"/>
          <w:sz w:val="26"/>
          <w:szCs w:val="26"/>
          <w:vertAlign w:val="superscript"/>
          <w:lang w:val="sr-Latn-ME"/>
        </w:rPr>
        <w:footnoteReference w:id="8"/>
      </w:r>
      <w:r w:rsidRPr="00D833AB">
        <w:rPr>
          <w:rFonts w:ascii="Arial Narrow" w:hAnsi="Arial Narrow"/>
          <w:sz w:val="26"/>
          <w:szCs w:val="26"/>
          <w:lang w:val="sr-Latn-ME"/>
        </w:rPr>
        <w:t>.</w:t>
      </w:r>
      <w:r w:rsidRPr="00D833AB">
        <w:rPr>
          <w:rFonts w:ascii="Arial Narrow" w:hAnsi="Arial Narrow"/>
          <w:i/>
          <w:sz w:val="26"/>
          <w:szCs w:val="26"/>
          <w:lang w:val="sr-Latn-ME"/>
        </w:rPr>
        <w:t xml:space="preserve"> </w:t>
      </w:r>
      <w:r w:rsidRPr="00D833AB">
        <w:rPr>
          <w:rFonts w:ascii="Arial Narrow" w:hAnsi="Arial Narrow"/>
          <w:sz w:val="26"/>
          <w:szCs w:val="26"/>
          <w:lang w:val="sr-Latn-ME"/>
        </w:rPr>
        <w:t>Dok je suštinski cilj člana 8 Konvencije zaštita pojedinca od proizvoljnog miješanja javnih vlasti, dodatno može postojati pozitivna obaveza svojstvena djelotvornom poštovanju privatnog života, koja može uključivati usvajanje mjera u oblasti međusobnih odnosa među pojedincima.</w:t>
      </w:r>
      <w:r w:rsidRPr="00D833AB">
        <w:rPr>
          <w:rFonts w:ascii="Arial Narrow" w:hAnsi="Arial Narrow"/>
          <w:sz w:val="26"/>
          <w:szCs w:val="26"/>
          <w:vertAlign w:val="superscript"/>
          <w:lang w:val="sr-Latn-ME"/>
        </w:rPr>
        <w:footnoteReference w:id="9"/>
      </w:r>
    </w:p>
    <w:p w:rsidR="00D833AB" w:rsidRPr="00D833AB" w:rsidRDefault="00D833AB" w:rsidP="00D833AB">
      <w:pPr>
        <w:spacing w:after="0" w:line="240" w:lineRule="auto"/>
        <w:ind w:firstLine="283"/>
        <w:jc w:val="both"/>
        <w:rPr>
          <w:i/>
          <w:sz w:val="26"/>
          <w:szCs w:val="26"/>
          <w:lang w:val="sr-Latn-ME"/>
        </w:rPr>
      </w:pPr>
    </w:p>
    <w:p w:rsidR="00D833AB" w:rsidRPr="00D833AB" w:rsidRDefault="00D833AB" w:rsidP="00D833AB">
      <w:pPr>
        <w:spacing w:after="0" w:line="240" w:lineRule="auto"/>
        <w:ind w:firstLine="283"/>
        <w:jc w:val="both"/>
        <w:rPr>
          <w:rFonts w:ascii="Arial Narrow" w:hAnsi="Arial Narrow"/>
          <w:sz w:val="26"/>
          <w:szCs w:val="26"/>
          <w:lang w:val="sr-Latn-ME"/>
        </w:rPr>
      </w:pPr>
      <w:r w:rsidRPr="00D833AB">
        <w:rPr>
          <w:rFonts w:ascii="Arial Narrow" w:hAnsi="Arial Narrow"/>
          <w:b/>
          <w:sz w:val="26"/>
          <w:szCs w:val="26"/>
          <w:lang w:val="sr-Latn-ME"/>
        </w:rPr>
        <w:tab/>
        <w:t>18</w:t>
      </w:r>
      <w:r w:rsidRPr="00D833AB">
        <w:rPr>
          <w:rFonts w:ascii="Arial Narrow" w:hAnsi="Arial Narrow"/>
          <w:sz w:val="26"/>
          <w:szCs w:val="26"/>
          <w:lang w:val="sr-Latn-ME"/>
        </w:rPr>
        <w:t>. Da li se predmet analizira u smislu pozitivne obaveze države da preduzme razumne i adekvatne mjere kako bi osigurala prava nekog podnosioca ustavne žalbe, na osnovu člana 8 stav 1 Konvencije, ili u smislu “miješanja državnog organa” kako bi bilo opravdano prema stavu 2, primjenjivi principi su dosta slični. U oba konteksta, u obzir se mora uzeti pravična ravnoteža koja se mora postići između suprostavljenih interesa pojedinaca i društva u cjelini. Nadalje, u oba konteksta, država uživa široko polje slobodne procjene prilikom određivanja koraka koje će preduzeti kako bi obezbijedila usaglašenost sa Konvencijom.</w:t>
      </w:r>
      <w:r w:rsidRPr="00D833AB">
        <w:rPr>
          <w:rFonts w:ascii="Arial Narrow" w:hAnsi="Arial Narrow"/>
          <w:sz w:val="26"/>
          <w:szCs w:val="26"/>
          <w:vertAlign w:val="superscript"/>
          <w:lang w:val="sr-Latn-ME"/>
        </w:rPr>
        <w:footnoteReference w:id="10"/>
      </w:r>
      <w:r w:rsidRPr="00D833AB">
        <w:rPr>
          <w:rFonts w:ascii="Arial Narrow" w:hAnsi="Arial Narrow"/>
          <w:sz w:val="26"/>
          <w:szCs w:val="26"/>
          <w:lang w:val="sr-Latn-ME"/>
        </w:rPr>
        <w:t xml:space="preserve"> Dalje, čak i u odnosu na pozitivne obaveze koje proizilaze iz člana 8 stav 1 Konvencije, prilikom postizanja potrebne pravične ravnoteže ciljevi pomenuti u stavu 2 ovog člana mogu imati određen značaj.</w:t>
      </w:r>
      <w:r w:rsidRPr="00D833AB">
        <w:rPr>
          <w:rFonts w:ascii="Arial Narrow" w:hAnsi="Arial Narrow"/>
          <w:sz w:val="26"/>
          <w:szCs w:val="26"/>
          <w:vertAlign w:val="superscript"/>
          <w:lang w:val="sr-Latn-ME"/>
        </w:rPr>
        <w:footnoteReference w:id="11"/>
      </w:r>
    </w:p>
    <w:p w:rsidR="00D833AB" w:rsidRPr="00D833AB" w:rsidRDefault="00D833AB" w:rsidP="00D833AB">
      <w:pPr>
        <w:spacing w:after="0" w:line="240" w:lineRule="auto"/>
        <w:ind w:firstLine="283"/>
        <w:jc w:val="both"/>
        <w:rPr>
          <w:rFonts w:ascii="Arial Narrow" w:hAnsi="Arial Narrow"/>
          <w:sz w:val="26"/>
          <w:szCs w:val="26"/>
          <w:lang w:val="sr-Latn-ME"/>
        </w:rPr>
      </w:pPr>
    </w:p>
    <w:p w:rsidR="00D833AB" w:rsidRPr="00D833AB" w:rsidRDefault="00D833AB" w:rsidP="00D833AB">
      <w:pPr>
        <w:spacing w:after="0" w:line="240" w:lineRule="auto"/>
        <w:ind w:firstLine="283"/>
        <w:jc w:val="both"/>
        <w:rPr>
          <w:rFonts w:ascii="Arial Narrow" w:hAnsi="Arial Narrow"/>
          <w:sz w:val="26"/>
          <w:szCs w:val="26"/>
          <w:lang w:val="sr-Latn-ME"/>
        </w:rPr>
      </w:pPr>
      <w:r w:rsidRPr="00D833AB">
        <w:rPr>
          <w:rFonts w:ascii="Arial Narrow" w:hAnsi="Arial Narrow"/>
          <w:b/>
          <w:sz w:val="26"/>
          <w:szCs w:val="26"/>
          <w:lang w:val="sr-Latn-ME"/>
        </w:rPr>
        <w:tab/>
        <w:t>19.</w:t>
      </w:r>
      <w:r w:rsidRPr="00D833AB">
        <w:rPr>
          <w:rFonts w:ascii="Arial Narrow" w:hAnsi="Arial Narrow"/>
          <w:sz w:val="26"/>
          <w:szCs w:val="26"/>
          <w:lang w:val="sr-Latn-ME"/>
        </w:rPr>
        <w:t xml:space="preserve"> Sud je prethodno utvrdio, u različitim kontekstima, da koncept privatnog života obuhvata fizički i psihički integritet lica. Prema članu 8 Konvencije države su dužne da zaštite fizički i moralni integritet pojedinca od drugih lica. U tom cilju one moraju da održavaju i primjenjuju u praksi odgovarajući pravni okvir koji pruža zaštitu od nasilnih postupaka privatnih lica.</w:t>
      </w:r>
      <w:r w:rsidRPr="00D833AB">
        <w:rPr>
          <w:rFonts w:ascii="Arial Narrow" w:hAnsi="Arial Narrow"/>
          <w:sz w:val="26"/>
          <w:szCs w:val="26"/>
          <w:vertAlign w:val="superscript"/>
          <w:lang w:val="sr-Latn-ME"/>
        </w:rPr>
        <w:footnoteReference w:id="12"/>
      </w:r>
      <w:r w:rsidRPr="00D833AB">
        <w:rPr>
          <w:rFonts w:ascii="Arial Narrow" w:hAnsi="Arial Narrow"/>
          <w:sz w:val="26"/>
          <w:szCs w:val="26"/>
          <w:lang w:val="sr-Latn-ME"/>
        </w:rPr>
        <w:t xml:space="preserve"> </w:t>
      </w:r>
      <w:r w:rsidRPr="00D833AB">
        <w:rPr>
          <w:rFonts w:ascii="Arial Narrow" w:hAnsi="Arial Narrow" w:cs="Arial"/>
          <w:color w:val="000000"/>
          <w:sz w:val="26"/>
          <w:szCs w:val="26"/>
          <w:lang w:val="sr-Latn-ME"/>
        </w:rPr>
        <w:t xml:space="preserve">Evropski sud za ljudska prava je, u vezi zaštite fizičkog i psihičkog integriteta pojedinca od trećih osoba, u mnogobrojnim predmetima zaključio da pozitivne obaveze države, nekad na temelju članova 2 i 3 Konvencije, a nekad na temelju člana 8 Konvencije, mogu uključivati obavezu države da stvori i primjenjuje u praksi odgovarajući pravni okvir koji će osigurati </w:t>
      </w:r>
      <w:r w:rsidRPr="00D833AB">
        <w:rPr>
          <w:rFonts w:ascii="Arial Narrow" w:hAnsi="Arial Narrow" w:cs="Arial"/>
          <w:color w:val="000000"/>
          <w:sz w:val="26"/>
          <w:szCs w:val="26"/>
          <w:lang w:val="sr-Latn-ME"/>
        </w:rPr>
        <w:lastRenderedPageBreak/>
        <w:t>pojedincima zaštitu od nasilnih radnji drugih privatnih osoba.</w:t>
      </w:r>
      <w:r w:rsidRPr="00D833AB">
        <w:rPr>
          <w:rFonts w:ascii="Arial Narrow" w:hAnsi="Arial Narrow" w:cs="Arial"/>
          <w:color w:val="000000"/>
          <w:sz w:val="26"/>
          <w:szCs w:val="26"/>
          <w:vertAlign w:val="superscript"/>
          <w:lang w:val="sr-Latn-ME"/>
        </w:rPr>
        <w:footnoteReference w:id="13"/>
      </w:r>
      <w:r w:rsidRPr="00D833AB">
        <w:rPr>
          <w:rFonts w:ascii="Arial Narrow" w:hAnsi="Arial Narrow" w:cs="Arial"/>
          <w:color w:val="000000"/>
          <w:sz w:val="26"/>
          <w:szCs w:val="26"/>
          <w:lang w:val="sr-Latn-ME"/>
        </w:rPr>
        <w:t xml:space="preserve"> </w:t>
      </w:r>
      <w:r w:rsidRPr="00D833AB">
        <w:rPr>
          <w:rFonts w:ascii="Arial Narrow" w:hAnsi="Arial Narrow"/>
          <w:sz w:val="26"/>
          <w:szCs w:val="26"/>
          <w:lang w:val="sr-Latn-ME"/>
        </w:rPr>
        <w:t>Kada su u pitanju manje ozbiljna djela među pojedincima, koja mogu narušiti psihološki integritet, adekvatni pravni okvir koji pruža zaštitu ne zahtijeva uvijek da postoji efikasna krivičnopravna odredba koja reguliše konkretno djelo. Pravni okvir, takođe, može obuhvatati građanskopravne ljekove koji mogu da obezbijede dovoljnu zaštitu.</w:t>
      </w:r>
      <w:r w:rsidRPr="00D833AB">
        <w:rPr>
          <w:rFonts w:ascii="Arial Narrow" w:hAnsi="Arial Narrow"/>
          <w:sz w:val="26"/>
          <w:szCs w:val="26"/>
          <w:vertAlign w:val="superscript"/>
          <w:lang w:val="sr-Latn-ME"/>
        </w:rPr>
        <w:footnoteReference w:id="14"/>
      </w:r>
    </w:p>
    <w:p w:rsidR="00D833AB" w:rsidRPr="00D833AB" w:rsidRDefault="00D833AB" w:rsidP="00D833AB">
      <w:pPr>
        <w:spacing w:after="0" w:line="240" w:lineRule="auto"/>
        <w:ind w:firstLine="283"/>
        <w:jc w:val="both"/>
        <w:rPr>
          <w:rFonts w:ascii="Arial Narrow" w:hAnsi="Arial Narrow"/>
          <w:b/>
          <w:sz w:val="26"/>
          <w:szCs w:val="26"/>
          <w:lang w:val="sr-Latn-ME"/>
        </w:rPr>
      </w:pPr>
    </w:p>
    <w:p w:rsidR="00D833AB" w:rsidRPr="00D833AB" w:rsidRDefault="00D833AB" w:rsidP="00D833AB">
      <w:pPr>
        <w:spacing w:after="0" w:line="240" w:lineRule="auto"/>
        <w:ind w:left="643"/>
        <w:contextualSpacing/>
        <w:jc w:val="both"/>
        <w:rPr>
          <w:rFonts w:ascii="Arial Narrow" w:hAnsi="Arial Narrow"/>
          <w:b/>
          <w:sz w:val="26"/>
          <w:szCs w:val="26"/>
          <w:lang w:val="sr-Latn-ME"/>
        </w:rPr>
      </w:pPr>
      <w:r w:rsidRPr="00D833AB">
        <w:rPr>
          <w:rFonts w:ascii="Arial Narrow" w:hAnsi="Arial Narrow"/>
          <w:b/>
          <w:sz w:val="26"/>
          <w:szCs w:val="26"/>
          <w:lang w:val="sr-Latn-ME"/>
        </w:rPr>
        <w:t xml:space="preserve">  b) Primjena načela na konkretan slučaj</w:t>
      </w:r>
    </w:p>
    <w:p w:rsidR="00D833AB" w:rsidRPr="00D833AB" w:rsidRDefault="00D833AB" w:rsidP="00D833AB">
      <w:pPr>
        <w:spacing w:after="0" w:line="240" w:lineRule="auto"/>
        <w:ind w:left="643"/>
        <w:contextualSpacing/>
        <w:jc w:val="both"/>
        <w:rPr>
          <w:rFonts w:ascii="Arial Narrow" w:hAnsi="Arial Narrow"/>
          <w:b/>
          <w:sz w:val="26"/>
          <w:szCs w:val="26"/>
          <w:lang w:val="sr-Latn-ME"/>
        </w:rPr>
      </w:pPr>
    </w:p>
    <w:p w:rsidR="00D833AB" w:rsidRPr="00D833AB" w:rsidRDefault="00D833AB" w:rsidP="00D833AB">
      <w:pPr>
        <w:spacing w:after="0" w:line="240" w:lineRule="auto"/>
        <w:ind w:firstLine="283"/>
        <w:jc w:val="both"/>
        <w:rPr>
          <w:rFonts w:ascii="Arial Narrow" w:hAnsi="Arial Narrow"/>
          <w:b/>
          <w:sz w:val="26"/>
          <w:szCs w:val="26"/>
          <w:lang w:val="sr-Latn-ME"/>
        </w:rPr>
      </w:pPr>
      <w:r w:rsidRPr="00D833AB">
        <w:rPr>
          <w:rFonts w:ascii="Arial Narrow" w:hAnsi="Arial Narrow"/>
          <w:b/>
          <w:sz w:val="26"/>
          <w:szCs w:val="26"/>
          <w:lang w:val="sr-Latn-ME"/>
        </w:rPr>
        <w:tab/>
        <w:t>20.</w:t>
      </w:r>
      <w:r w:rsidRPr="00D833AB">
        <w:rPr>
          <w:rFonts w:ascii="Arial Narrow" w:hAnsi="Arial Narrow"/>
          <w:sz w:val="26"/>
          <w:szCs w:val="26"/>
          <w:lang w:val="sr-Latn-ME"/>
        </w:rPr>
        <w:t xml:space="preserve">  Sporno pitanje koje se postavlja pred Ustavnim sudom nije da li su pravni ljekovi koje je iskoristila podnositeljka ustavne žalbe doveli do rezultata koji je povoljan za nju, već da li su isti bili dovoljni i dostupni, odnosno da li su pružali standard zaštite koji je, u principu, omogućavao djelotvornu zaštitu, shodno standardima iz prakse Evropskog suda za ljudska prava, na osnovu člana 8 Konvencije. Nadalje, zadatak Suda nije da umjesto redovnih sudova odlučuje o odabiru najboljih metoda zaštite pojedinaca od napada na njihov lični integritet, već prije, da, u skladu sa Konvencijom, preispituje odluke koje su ti sudovi donijeli, koristeći polje slobodne procjene. Sud će stoga ispitati da li su redovni sudovi, prilikom razmatranja predmeta podnositeljke ustavne žalbe, prekršili svoju pozitivnu obavezu prema članu 8 Konvencije</w:t>
      </w:r>
      <w:r w:rsidRPr="00D833AB">
        <w:rPr>
          <w:rFonts w:ascii="Arial Narrow" w:hAnsi="Arial Narrow"/>
          <w:sz w:val="26"/>
          <w:szCs w:val="26"/>
          <w:vertAlign w:val="superscript"/>
          <w:lang w:val="sr-Latn-ME"/>
        </w:rPr>
        <w:footnoteReference w:id="15"/>
      </w:r>
      <w:r w:rsidRPr="00D833AB">
        <w:rPr>
          <w:rFonts w:ascii="Arial Narrow" w:hAnsi="Arial Narrow"/>
          <w:sz w:val="26"/>
          <w:szCs w:val="26"/>
          <w:lang w:val="sr-Latn-ME"/>
        </w:rPr>
        <w:t>, kao i da li je Vrhovni sud pravilno primijenio pravo.</w:t>
      </w:r>
    </w:p>
    <w:p w:rsidR="00D833AB" w:rsidRPr="00D833AB" w:rsidRDefault="00D833AB" w:rsidP="00D833AB">
      <w:pPr>
        <w:spacing w:after="0" w:line="240" w:lineRule="auto"/>
        <w:ind w:firstLine="283"/>
        <w:jc w:val="both"/>
        <w:rPr>
          <w:rFonts w:ascii="Arial Narrow" w:hAnsi="Arial Narrow"/>
          <w:b/>
          <w:sz w:val="26"/>
          <w:szCs w:val="26"/>
          <w:lang w:val="sr-Latn-ME"/>
        </w:rPr>
      </w:pPr>
    </w:p>
    <w:p w:rsidR="00D833AB" w:rsidRPr="00D833AB" w:rsidRDefault="00D833AB" w:rsidP="00D833AB">
      <w:pPr>
        <w:spacing w:after="0" w:line="240" w:lineRule="auto"/>
        <w:ind w:firstLine="283"/>
        <w:jc w:val="both"/>
        <w:rPr>
          <w:rFonts w:ascii="Arial Narrow" w:hAnsi="Arial Narrow"/>
          <w:sz w:val="26"/>
          <w:szCs w:val="26"/>
          <w:lang w:val="sr-Latn-ME"/>
        </w:rPr>
      </w:pPr>
      <w:r w:rsidRPr="00D833AB">
        <w:rPr>
          <w:rFonts w:ascii="Arial Narrow" w:hAnsi="Arial Narrow"/>
          <w:b/>
          <w:sz w:val="26"/>
          <w:szCs w:val="26"/>
          <w:lang w:val="sr-Latn-ME"/>
        </w:rPr>
        <w:tab/>
        <w:t xml:space="preserve">21. </w:t>
      </w:r>
      <w:r w:rsidRPr="00D833AB">
        <w:rPr>
          <w:rFonts w:ascii="Arial Narrow" w:hAnsi="Arial Narrow"/>
          <w:sz w:val="26"/>
          <w:szCs w:val="26"/>
          <w:lang w:val="sr-Latn-ME"/>
        </w:rPr>
        <w:t xml:space="preserve">S tim u vezi, Ustavni sud primjećuje da je Zakonom o zabrani zlostavljanja na radu propisana mogućnost da podnositeljka ustavne žalbe traži zaštitu od uznemiravanja na radnom mjestu. U konkretnom predmetu, te mogućnosti su uključivale posredovanje. Nema indikacije da su te mogućnosti, na način na koji su propisane, bile suštinski neadekvatne ili nedovoljne u cilju pružanja potrebne zaštite od incidenata zlostavljanja. Međutim, takođe je važno naglasiti da dostupni ljekovi treba u praksi da budu funkcionalni. </w:t>
      </w:r>
      <w:r w:rsidRPr="00D833AB">
        <w:rPr>
          <w:rFonts w:ascii="Arial Narrow" w:hAnsi="Arial Narrow"/>
          <w:sz w:val="26"/>
          <w:szCs w:val="26"/>
          <w:lang w:val="sr-Latn-ME"/>
        </w:rPr>
        <w:tab/>
      </w:r>
    </w:p>
    <w:p w:rsidR="00D833AB" w:rsidRPr="00D833AB" w:rsidRDefault="00D833AB" w:rsidP="00D833AB">
      <w:pPr>
        <w:spacing w:after="0" w:line="240" w:lineRule="auto"/>
        <w:ind w:firstLine="283"/>
        <w:jc w:val="both"/>
        <w:rPr>
          <w:rFonts w:ascii="Arial Narrow" w:hAnsi="Arial Narrow"/>
          <w:sz w:val="26"/>
          <w:szCs w:val="26"/>
          <w:lang w:val="sr-Latn-ME"/>
        </w:rPr>
      </w:pPr>
      <w:r w:rsidRPr="00D833AB">
        <w:rPr>
          <w:rFonts w:ascii="Arial Narrow" w:hAnsi="Arial Narrow"/>
          <w:sz w:val="26"/>
          <w:szCs w:val="26"/>
          <w:lang w:val="sr-Latn-ME"/>
        </w:rPr>
        <w:tab/>
      </w:r>
    </w:p>
    <w:p w:rsidR="00D833AB" w:rsidRPr="00D833AB" w:rsidRDefault="00D833AB" w:rsidP="00D833AB">
      <w:pPr>
        <w:spacing w:after="0" w:line="240" w:lineRule="auto"/>
        <w:jc w:val="both"/>
        <w:rPr>
          <w:rFonts w:ascii="Arial Narrow" w:hAnsi="Arial Narrow"/>
          <w:sz w:val="26"/>
          <w:szCs w:val="26"/>
          <w:lang w:val="sr-Latn-ME"/>
        </w:rPr>
      </w:pPr>
      <w:r w:rsidRPr="00D833AB">
        <w:rPr>
          <w:rFonts w:ascii="Arial Narrow" w:hAnsi="Arial Narrow"/>
          <w:sz w:val="26"/>
          <w:szCs w:val="26"/>
          <w:lang w:val="sr-Latn-ME"/>
        </w:rPr>
        <w:tab/>
      </w:r>
      <w:r w:rsidRPr="00D833AB">
        <w:rPr>
          <w:rFonts w:ascii="Arial Narrow" w:hAnsi="Arial Narrow"/>
          <w:b/>
          <w:sz w:val="26"/>
          <w:szCs w:val="26"/>
          <w:lang w:val="sr-Latn-ME"/>
        </w:rPr>
        <w:t>22.</w:t>
      </w:r>
      <w:r w:rsidRPr="00D833AB">
        <w:rPr>
          <w:rFonts w:ascii="Arial Narrow" w:hAnsi="Arial Narrow"/>
          <w:sz w:val="26"/>
          <w:szCs w:val="26"/>
          <w:lang w:val="sr-Latn-ME"/>
        </w:rPr>
        <w:t xml:space="preserve"> U tom smislu, Sud primjećuje da je podnositeljka, najprije, podnijela zahtjev</w:t>
      </w:r>
      <w:r w:rsidRPr="00D833AB">
        <w:rPr>
          <w:rFonts w:ascii="Arial Narrow" w:hAnsi="Arial Narrow" w:cs="Times New Roman"/>
          <w:sz w:val="26"/>
          <w:szCs w:val="26"/>
          <w:lang w:val="sr-Latn-ME"/>
        </w:rPr>
        <w:t xml:space="preserve"> za pokretanje postupka za zaštitu od mobinga poslodavcu, koji postupak posredovanja nije uspio jer </w:t>
      </w:r>
      <w:r w:rsidRPr="00D833AB">
        <w:rPr>
          <w:rFonts w:ascii="Arial Narrow" w:eastAsia="Times New Roman" w:hAnsi="Arial Narrow" w:cs="Times New Roman"/>
          <w:sz w:val="26"/>
          <w:szCs w:val="26"/>
          <w:lang w:val="sr-Latn-ME"/>
        </w:rPr>
        <w:t xml:space="preserve">je drugotuženi smatrao da pokretanje postupka posredovanja predstavlja zloupotrebu prava za zaštitu od mobinga i u konačnom je negirao postojanje mobinga. </w:t>
      </w:r>
      <w:r w:rsidRPr="00D833AB">
        <w:rPr>
          <w:rFonts w:ascii="Arial Narrow" w:hAnsi="Arial Narrow"/>
          <w:sz w:val="26"/>
          <w:szCs w:val="26"/>
          <w:lang w:val="sr-Latn-ME"/>
        </w:rPr>
        <w:t>Podnositeljka ustavne žalbe je, zatim, podnijela tužbu Osnovnom sudu u Podgorici kojom je tražila da sud utvrdi</w:t>
      </w:r>
      <w:r w:rsidRPr="00D833AB">
        <w:rPr>
          <w:rFonts w:ascii="Arial Narrow" w:eastAsia="Calibri" w:hAnsi="Arial Narrow" w:cs="Times New Roman"/>
          <w:sz w:val="26"/>
          <w:szCs w:val="26"/>
          <w:lang w:val="sr-Latn-ME"/>
        </w:rPr>
        <w:t xml:space="preserve"> da su tuženi</w:t>
      </w:r>
      <w:r w:rsidRPr="00D833AB">
        <w:rPr>
          <w:rFonts w:ascii="Arial Narrow" w:hAnsi="Arial Narrow"/>
          <w:sz w:val="26"/>
          <w:szCs w:val="26"/>
          <w:lang w:val="sr-Latn-ME"/>
        </w:rPr>
        <w:t xml:space="preserve"> u periodu od 27. oktobra 2017. godine do 5. jula 2018. godine, </w:t>
      </w:r>
      <w:r w:rsidRPr="00D833AB">
        <w:rPr>
          <w:rFonts w:ascii="Arial Narrow" w:eastAsia="Calibri" w:hAnsi="Arial Narrow" w:cs="Times New Roman"/>
          <w:sz w:val="26"/>
          <w:szCs w:val="26"/>
          <w:lang w:val="sr-Latn-ME"/>
        </w:rPr>
        <w:t xml:space="preserve">vršili mobing i diskriminatorsko ponašanje nad njom, kao ženom. Takođe je </w:t>
      </w:r>
      <w:r w:rsidRPr="00D833AB">
        <w:rPr>
          <w:rFonts w:ascii="Arial Narrow" w:hAnsi="Arial Narrow"/>
          <w:sz w:val="26"/>
          <w:szCs w:val="26"/>
          <w:lang w:val="sr-Latn-ME"/>
        </w:rPr>
        <w:t>tražila i da se prvotužena obaveže da joj na ime nematerijalne štete, po osnovu pretrpljenih i budućih duševnih bolova zbog povrede dostojanstva, ugleda, ličnog i profesionalnog integriteta, usljed mobinga i diskriminatorskog ponašanja, isplati iznos od 10.000 eura, sa zakonskom zateznom kamatom, počev od dana presuđenja pa do konačne isplate.</w:t>
      </w:r>
    </w:p>
    <w:p w:rsidR="00D833AB" w:rsidRPr="00D833AB" w:rsidRDefault="00D833AB" w:rsidP="00D833AB">
      <w:pPr>
        <w:shd w:val="clear" w:color="auto" w:fill="FFFFFF"/>
        <w:spacing w:after="0" w:line="240" w:lineRule="auto"/>
        <w:jc w:val="both"/>
        <w:rPr>
          <w:rFonts w:ascii="Arial Narrow" w:eastAsia="Times New Roman" w:hAnsi="Arial Narrow" w:cs="Times New Roman"/>
          <w:b/>
          <w:sz w:val="26"/>
          <w:szCs w:val="26"/>
          <w:lang w:val="sr-Latn-ME"/>
        </w:rPr>
      </w:pPr>
      <w:r w:rsidRPr="00D833AB">
        <w:rPr>
          <w:rFonts w:ascii="Arial Narrow" w:eastAsia="Times New Roman" w:hAnsi="Arial Narrow" w:cs="Times New Roman"/>
          <w:b/>
          <w:sz w:val="26"/>
          <w:szCs w:val="26"/>
          <w:lang w:val="sr-Latn-ME"/>
        </w:rPr>
        <w:t xml:space="preserve"> </w:t>
      </w:r>
    </w:p>
    <w:p w:rsidR="00D833AB" w:rsidRPr="00D833AB" w:rsidRDefault="00D833AB" w:rsidP="00D833AB">
      <w:pPr>
        <w:shd w:val="clear" w:color="auto" w:fill="FFFFFF"/>
        <w:spacing w:after="0" w:line="240" w:lineRule="auto"/>
        <w:ind w:firstLine="720"/>
        <w:jc w:val="both"/>
        <w:rPr>
          <w:rFonts w:ascii="Arial Narrow" w:eastAsia="Times New Roman" w:hAnsi="Arial Narrow" w:cs="Arial"/>
          <w:color w:val="000000"/>
          <w:sz w:val="26"/>
          <w:szCs w:val="26"/>
          <w:lang w:val="sr-Latn-ME"/>
        </w:rPr>
      </w:pPr>
      <w:r w:rsidRPr="00D833AB">
        <w:rPr>
          <w:rFonts w:ascii="Arial Narrow" w:eastAsia="Times New Roman" w:hAnsi="Arial Narrow" w:cs="Times New Roman"/>
          <w:b/>
          <w:sz w:val="26"/>
          <w:szCs w:val="26"/>
          <w:lang w:val="sr-Latn-ME"/>
        </w:rPr>
        <w:t>23.</w:t>
      </w:r>
      <w:r w:rsidRPr="00D833AB">
        <w:rPr>
          <w:rFonts w:ascii="Arial Narrow" w:eastAsia="Times New Roman" w:hAnsi="Arial Narrow" w:cs="Times New Roman"/>
          <w:sz w:val="26"/>
          <w:szCs w:val="26"/>
          <w:lang w:val="sr-Latn-ME"/>
        </w:rPr>
        <w:t xml:space="preserve"> Prema navodima podnositeljke ustavne žalbe zlostavljanje na radu (mobing) i diskriminatorsko ponašanje nad njom, kao ženom ogledalo se u sljedećem: </w:t>
      </w:r>
      <w:r w:rsidRPr="00D833AB">
        <w:rPr>
          <w:rFonts w:ascii="Arial Narrow" w:eastAsia="Times New Roman" w:hAnsi="Arial Narrow" w:cs="Arial"/>
          <w:color w:val="000000"/>
          <w:sz w:val="26"/>
          <w:szCs w:val="26"/>
          <w:lang w:val="sr-Latn-ME"/>
        </w:rPr>
        <w:t xml:space="preserve">uskraćivanju  prava na rad, drastičnom redukovanju, a potom i ukidanju svih ovlašćenja; onemogućavanju rada u </w:t>
      </w:r>
      <w:r w:rsidRPr="00D833AB">
        <w:rPr>
          <w:rFonts w:ascii="Arial Narrow" w:eastAsia="Times New Roman" w:hAnsi="Arial Narrow" w:cs="Arial"/>
          <w:color w:val="000000"/>
          <w:sz w:val="26"/>
          <w:szCs w:val="26"/>
          <w:lang w:val="sr-Latn-ME"/>
        </w:rPr>
        <w:lastRenderedPageBreak/>
        <w:t>za zdravlje adekvatnom radnom prostoru; širenju neistine o privatnom životu i moralu podnositeljke kao žene; vršenju neravnomjernog prerasporeda radnih zadataka, ovlašćenja i zaposlenih u odnosu na lica s istim profesionalnim statusom; nižim primanjima u odnosu na drugo lice muškog pola s istim profesionalnim statusom i akademskim referencama; donošenju odluka iz domena podnositeljkinih nadležnosti i odgovornosti, a bez njenog informisanja; neopravdanom onemogućavanju podnositeljke da izvršava radne zadatke uz namjerno i neopravdano uskraćivanje i zadržavanje informacija koje su u vezi sa radom; izopštavanju i izolaciji podnositeljke kao člana rukovodstva tuženog I reda kroz neupoznavanje s odlukama i aktivnostima tuženih; neopravdanom nepozivanju na zajedničke sastanke; isključivanju i neinformisanju o sastancima u zemlji i inostranstvu s rukovodstvima komercijalnih i drugih centralnih banaka; neopravdanom isključivanje podnositeljke iz radnih tijela tuženog I reda; namjernom izazivanje konflikta i stresa; smanjenju broja zaposlenih u ingerenciji tužilje do ostavljanja bez sektora i zaposlenih; stavljanju u dodatno nepovoljniji položaj nakon podnošenja zahtjeva za zaštitu od zlostavljanja na radu u smislu oduzimanja sektora, radnih zadataka, zaposlenih i izbacivanje iz radnih tijela I tužene, te umanjivanjem primanja po tom osnovu; tolerisanju nasilničkog ponašanja prema podnositeljki i nesankcionisanju istog; podnošenju neosnovane krivične prijave od strane poslodavca protiv tužilje u cilju njenog razrješenja, te iniciranja razrješenja, odnosno prekida radnog odnosa tokom postupka za zaštitu od diskriminacije i mobinga kao i neobezbjeđivanju  radne okoline u kojoj bi podnositeljka poslove obavljala u atmosferi poštovanja, saradnje, otvorenosti, bezbjednosti i jednakosti.</w:t>
      </w:r>
    </w:p>
    <w:p w:rsidR="00D833AB" w:rsidRPr="00D833AB" w:rsidRDefault="00D833AB" w:rsidP="00D833AB">
      <w:pPr>
        <w:shd w:val="clear" w:color="auto" w:fill="FFFFFF"/>
        <w:spacing w:after="0" w:line="240" w:lineRule="auto"/>
        <w:ind w:firstLine="720"/>
        <w:jc w:val="both"/>
        <w:rPr>
          <w:rFonts w:ascii="Arial Narrow" w:eastAsia="Times New Roman" w:hAnsi="Arial Narrow" w:cs="Arial"/>
          <w:color w:val="000000"/>
          <w:sz w:val="26"/>
          <w:szCs w:val="26"/>
          <w:lang w:val="sr-Latn-ME"/>
        </w:rPr>
      </w:pPr>
    </w:p>
    <w:p w:rsidR="00D833AB" w:rsidRPr="00D833AB" w:rsidRDefault="00D833AB" w:rsidP="00D833AB">
      <w:pPr>
        <w:pBdr>
          <w:top w:val="single" w:sz="6" w:space="1" w:color="auto"/>
        </w:pBdr>
        <w:spacing w:after="0" w:line="240" w:lineRule="auto"/>
        <w:jc w:val="center"/>
        <w:rPr>
          <w:rFonts w:ascii="Arial" w:eastAsia="Times New Roman" w:hAnsi="Arial" w:cs="Arial"/>
          <w:vanish/>
          <w:sz w:val="16"/>
          <w:szCs w:val="16"/>
          <w:lang w:val="sr-Latn-ME"/>
        </w:rPr>
      </w:pPr>
      <w:r w:rsidRPr="00D833AB">
        <w:rPr>
          <w:rFonts w:ascii="Arial" w:eastAsia="Times New Roman" w:hAnsi="Arial" w:cs="Arial"/>
          <w:vanish/>
          <w:sz w:val="16"/>
          <w:szCs w:val="16"/>
          <w:lang w:val="sr-Latn-ME"/>
        </w:rPr>
        <w:t>Bottom of Form</w:t>
      </w:r>
    </w:p>
    <w:p w:rsidR="00D833AB" w:rsidRPr="00D833AB" w:rsidRDefault="00D833AB" w:rsidP="00D833AB">
      <w:pPr>
        <w:spacing w:after="0" w:line="240" w:lineRule="auto"/>
        <w:ind w:firstLine="283"/>
        <w:jc w:val="both"/>
        <w:rPr>
          <w:rFonts w:ascii="Arial Narrow" w:hAnsi="Arial Narrow"/>
          <w:sz w:val="26"/>
          <w:szCs w:val="26"/>
          <w:lang w:val="sr-Latn-ME"/>
        </w:rPr>
      </w:pPr>
      <w:r w:rsidRPr="00D833AB">
        <w:rPr>
          <w:rFonts w:ascii="Arial Narrow" w:eastAsia="Times New Roman" w:hAnsi="Arial Narrow" w:cs="Times New Roman"/>
          <w:sz w:val="26"/>
          <w:szCs w:val="26"/>
          <w:lang w:val="sr-Latn-ME"/>
        </w:rPr>
        <w:tab/>
      </w:r>
      <w:r w:rsidRPr="00D833AB">
        <w:rPr>
          <w:rFonts w:ascii="Arial Narrow" w:eastAsia="Times New Roman" w:hAnsi="Arial Narrow" w:cs="Times New Roman"/>
          <w:b/>
          <w:sz w:val="26"/>
          <w:szCs w:val="26"/>
          <w:lang w:val="sr-Latn-ME"/>
        </w:rPr>
        <w:t>24.</w:t>
      </w:r>
      <w:r w:rsidRPr="00D833AB">
        <w:rPr>
          <w:rFonts w:ascii="Arial Narrow" w:eastAsia="Times New Roman" w:hAnsi="Arial Narrow" w:cs="Times New Roman"/>
          <w:sz w:val="26"/>
          <w:szCs w:val="26"/>
          <w:lang w:val="sr-Latn-ME"/>
        </w:rPr>
        <w:t xml:space="preserve"> </w:t>
      </w:r>
      <w:r w:rsidRPr="00D833AB">
        <w:rPr>
          <w:rFonts w:ascii="Arial Narrow" w:hAnsi="Arial Narrow"/>
          <w:sz w:val="26"/>
          <w:szCs w:val="26"/>
          <w:lang w:val="sr-Latn-ME"/>
        </w:rPr>
        <w:t>U cilju utvrđivanja</w:t>
      </w:r>
      <w:r w:rsidRPr="00D833AB">
        <w:rPr>
          <w:rFonts w:ascii="Arial Narrow" w:hAnsi="Arial Narrow"/>
          <w:b/>
          <w:sz w:val="26"/>
          <w:szCs w:val="26"/>
          <w:lang w:val="sr-Latn-ME"/>
        </w:rPr>
        <w:t xml:space="preserve"> </w:t>
      </w:r>
      <w:r w:rsidRPr="00D833AB">
        <w:rPr>
          <w:rFonts w:ascii="Arial Narrow" w:hAnsi="Arial Narrow"/>
          <w:sz w:val="26"/>
          <w:szCs w:val="26"/>
          <w:lang w:val="sr-Latn-ME"/>
        </w:rPr>
        <w:t>da li radnje</w:t>
      </w:r>
      <w:r w:rsidRPr="00D833AB">
        <w:rPr>
          <w:rFonts w:ascii="Arial Narrow" w:hAnsi="Arial Narrow"/>
          <w:b/>
          <w:sz w:val="26"/>
          <w:szCs w:val="26"/>
          <w:lang w:val="sr-Latn-ME"/>
        </w:rPr>
        <w:t xml:space="preserve"> </w:t>
      </w:r>
      <w:r w:rsidRPr="00D833AB">
        <w:rPr>
          <w:rFonts w:ascii="Arial Narrow" w:hAnsi="Arial Narrow"/>
          <w:sz w:val="26"/>
          <w:szCs w:val="26"/>
          <w:lang w:val="sr-Latn-ME"/>
        </w:rPr>
        <w:t>koje je navela podnositeljka ustavne žalbe</w:t>
      </w:r>
      <w:r w:rsidRPr="00D833AB">
        <w:rPr>
          <w:rFonts w:ascii="Arial Narrow" w:hAnsi="Arial Narrow"/>
          <w:b/>
          <w:sz w:val="26"/>
          <w:szCs w:val="26"/>
          <w:lang w:val="sr-Latn-ME"/>
        </w:rPr>
        <w:t xml:space="preserve"> </w:t>
      </w:r>
      <w:r w:rsidRPr="00D833AB">
        <w:rPr>
          <w:rFonts w:ascii="Arial Narrow" w:hAnsi="Arial Narrow"/>
          <w:sz w:val="26"/>
          <w:szCs w:val="26"/>
          <w:lang w:val="sr-Latn-ME"/>
        </w:rPr>
        <w:t>predstavljaju mobing odnosno diskriminatorno ponašanje,</w:t>
      </w:r>
      <w:r w:rsidRPr="00D833AB">
        <w:rPr>
          <w:rFonts w:ascii="Arial Narrow" w:hAnsi="Arial Narrow"/>
          <w:b/>
          <w:sz w:val="26"/>
          <w:szCs w:val="26"/>
          <w:lang w:val="sr-Latn-ME"/>
        </w:rPr>
        <w:t xml:space="preserve"> </w:t>
      </w:r>
      <w:r w:rsidRPr="00D833AB">
        <w:rPr>
          <w:rFonts w:ascii="Arial Narrow" w:hAnsi="Arial Narrow"/>
          <w:sz w:val="26"/>
          <w:szCs w:val="26"/>
          <w:lang w:val="sr-Latn-ME"/>
        </w:rPr>
        <w:t>Osnovni sud</w:t>
      </w:r>
      <w:r w:rsidRPr="00D833AB">
        <w:rPr>
          <w:rFonts w:ascii="Arial Narrow" w:hAnsi="Arial Narrow"/>
          <w:b/>
          <w:sz w:val="26"/>
          <w:szCs w:val="26"/>
          <w:lang w:val="sr-Latn-ME"/>
        </w:rPr>
        <w:t xml:space="preserve"> </w:t>
      </w:r>
      <w:r w:rsidRPr="00D833AB">
        <w:rPr>
          <w:rFonts w:ascii="Arial Narrow" w:hAnsi="Arial Narrow"/>
          <w:sz w:val="26"/>
          <w:szCs w:val="26"/>
          <w:lang w:val="sr-Latn-ME"/>
        </w:rPr>
        <w:t>u Podgorici je proveo opsežan dokazni postupak. Pored brojnih materijalnih dokaza, Osnovni sud u Podgorici je na navedene okolnosti saslušao: podnositeljku ustavne žalbe, drugotuženog kao i svjedoke R</w:t>
      </w:r>
      <w:r>
        <w:rPr>
          <w:rFonts w:ascii="Arial Narrow" w:hAnsi="Arial Narrow"/>
          <w:sz w:val="26"/>
          <w:szCs w:val="26"/>
          <w:lang w:val="sr-Latn-ME"/>
        </w:rPr>
        <w:t>.</w:t>
      </w:r>
      <w:r w:rsidRPr="00D833AB">
        <w:rPr>
          <w:rFonts w:ascii="Arial Narrow" w:hAnsi="Arial Narrow"/>
          <w:sz w:val="26"/>
          <w:szCs w:val="26"/>
          <w:lang w:val="sr-Latn-ME"/>
        </w:rPr>
        <w:t xml:space="preserve"> L</w:t>
      </w:r>
      <w:r>
        <w:rPr>
          <w:rFonts w:ascii="Arial Narrow" w:hAnsi="Arial Narrow"/>
          <w:sz w:val="26"/>
          <w:szCs w:val="26"/>
          <w:lang w:val="sr-Latn-ME"/>
        </w:rPr>
        <w:t>.</w:t>
      </w:r>
      <w:r w:rsidRPr="00D833AB">
        <w:rPr>
          <w:rFonts w:ascii="Arial Narrow" w:hAnsi="Arial Narrow"/>
          <w:sz w:val="26"/>
          <w:szCs w:val="26"/>
          <w:lang w:val="sr-Latn-ME"/>
        </w:rPr>
        <w:t xml:space="preserve">, </w:t>
      </w:r>
      <w:r>
        <w:rPr>
          <w:rFonts w:ascii="Arial Narrow" w:hAnsi="Arial Narrow"/>
          <w:sz w:val="26"/>
          <w:szCs w:val="26"/>
          <w:lang w:val="sr-Latn-ME"/>
        </w:rPr>
        <w:t>N.F.</w:t>
      </w:r>
      <w:r w:rsidRPr="00D833AB">
        <w:rPr>
          <w:rFonts w:ascii="Arial Narrow" w:hAnsi="Arial Narrow"/>
          <w:sz w:val="26"/>
          <w:szCs w:val="26"/>
          <w:lang w:val="sr-Latn-ME"/>
        </w:rPr>
        <w:t>, M</w:t>
      </w:r>
      <w:r>
        <w:rPr>
          <w:rFonts w:ascii="Arial Narrow" w:hAnsi="Arial Narrow"/>
          <w:sz w:val="26"/>
          <w:szCs w:val="26"/>
          <w:lang w:val="sr-Latn-ME"/>
        </w:rPr>
        <w:t>.</w:t>
      </w:r>
      <w:r w:rsidRPr="00D833AB">
        <w:rPr>
          <w:rFonts w:ascii="Arial Narrow" w:hAnsi="Arial Narrow"/>
          <w:sz w:val="26"/>
          <w:szCs w:val="26"/>
          <w:lang w:val="sr-Latn-ME"/>
        </w:rPr>
        <w:t xml:space="preserve"> R</w:t>
      </w:r>
      <w:r>
        <w:rPr>
          <w:rFonts w:ascii="Arial Narrow" w:hAnsi="Arial Narrow"/>
          <w:sz w:val="26"/>
          <w:szCs w:val="26"/>
          <w:lang w:val="sr-Latn-ME"/>
        </w:rPr>
        <w:t>.</w:t>
      </w:r>
      <w:r w:rsidRPr="00D833AB">
        <w:rPr>
          <w:rFonts w:ascii="Arial Narrow" w:hAnsi="Arial Narrow"/>
          <w:sz w:val="26"/>
          <w:szCs w:val="26"/>
          <w:lang w:val="sr-Latn-ME"/>
        </w:rPr>
        <w:t>, D</w:t>
      </w:r>
      <w:r>
        <w:rPr>
          <w:rFonts w:ascii="Arial Narrow" w:hAnsi="Arial Narrow"/>
          <w:sz w:val="26"/>
          <w:szCs w:val="26"/>
          <w:lang w:val="sr-Latn-ME"/>
        </w:rPr>
        <w:t>.</w:t>
      </w:r>
      <w:r w:rsidRPr="00D833AB">
        <w:rPr>
          <w:rFonts w:ascii="Arial Narrow" w:hAnsi="Arial Narrow"/>
          <w:sz w:val="26"/>
          <w:szCs w:val="26"/>
          <w:lang w:val="sr-Latn-ME"/>
        </w:rPr>
        <w:t xml:space="preserve"> B</w:t>
      </w:r>
      <w:r>
        <w:rPr>
          <w:rFonts w:ascii="Arial Narrow" w:hAnsi="Arial Narrow"/>
          <w:sz w:val="26"/>
          <w:szCs w:val="26"/>
          <w:lang w:val="sr-Latn-ME"/>
        </w:rPr>
        <w:t>.</w:t>
      </w:r>
      <w:r w:rsidRPr="00D833AB">
        <w:rPr>
          <w:rFonts w:ascii="Arial Narrow" w:hAnsi="Arial Narrow"/>
          <w:sz w:val="26"/>
          <w:szCs w:val="26"/>
          <w:lang w:val="sr-Latn-ME"/>
        </w:rPr>
        <w:t>, M</w:t>
      </w:r>
      <w:r>
        <w:rPr>
          <w:rFonts w:ascii="Arial Narrow" w:hAnsi="Arial Narrow"/>
          <w:sz w:val="26"/>
          <w:szCs w:val="26"/>
          <w:lang w:val="sr-Latn-ME"/>
        </w:rPr>
        <w:t>.</w:t>
      </w:r>
      <w:r w:rsidRPr="00D833AB">
        <w:rPr>
          <w:rFonts w:ascii="Arial Narrow" w:hAnsi="Arial Narrow"/>
          <w:sz w:val="26"/>
          <w:szCs w:val="26"/>
          <w:lang w:val="sr-Latn-ME"/>
        </w:rPr>
        <w:t xml:space="preserve"> G</w:t>
      </w:r>
      <w:r>
        <w:rPr>
          <w:rFonts w:ascii="Arial Narrow" w:hAnsi="Arial Narrow"/>
          <w:sz w:val="26"/>
          <w:szCs w:val="26"/>
          <w:lang w:val="sr-Latn-ME"/>
        </w:rPr>
        <w:t>.</w:t>
      </w:r>
      <w:r w:rsidRPr="00D833AB">
        <w:rPr>
          <w:rFonts w:ascii="Arial Narrow" w:hAnsi="Arial Narrow"/>
          <w:sz w:val="26"/>
          <w:szCs w:val="26"/>
          <w:lang w:val="sr-Latn-ME"/>
        </w:rPr>
        <w:t xml:space="preserve"> i A</w:t>
      </w:r>
      <w:r>
        <w:rPr>
          <w:rFonts w:ascii="Arial Narrow" w:hAnsi="Arial Narrow"/>
          <w:sz w:val="26"/>
          <w:szCs w:val="26"/>
          <w:lang w:val="sr-Latn-ME"/>
        </w:rPr>
        <w:t>.</w:t>
      </w:r>
      <w:r w:rsidRPr="00D833AB">
        <w:rPr>
          <w:rFonts w:ascii="Arial Narrow" w:hAnsi="Arial Narrow"/>
          <w:sz w:val="26"/>
          <w:szCs w:val="26"/>
          <w:lang w:val="sr-Latn-ME"/>
        </w:rPr>
        <w:t xml:space="preserve"> T</w:t>
      </w:r>
      <w:r>
        <w:rPr>
          <w:rFonts w:ascii="Arial Narrow" w:hAnsi="Arial Narrow"/>
          <w:sz w:val="26"/>
          <w:szCs w:val="26"/>
          <w:lang w:val="sr-Latn-ME"/>
        </w:rPr>
        <w:t>.</w:t>
      </w:r>
      <w:r w:rsidRPr="00D833AB">
        <w:rPr>
          <w:rFonts w:ascii="Arial Narrow" w:hAnsi="Arial Narrow"/>
          <w:sz w:val="26"/>
          <w:szCs w:val="26"/>
          <w:lang w:val="sr-Latn-ME"/>
        </w:rPr>
        <w:t>. Takođe, pročitan je nalaz i mišljenje vještaka neuropsihijatra S</w:t>
      </w:r>
      <w:r>
        <w:rPr>
          <w:rFonts w:ascii="Arial Narrow" w:hAnsi="Arial Narrow"/>
          <w:sz w:val="26"/>
          <w:szCs w:val="26"/>
          <w:lang w:val="sr-Latn-ME"/>
        </w:rPr>
        <w:t>.</w:t>
      </w:r>
      <w:r w:rsidRPr="00D833AB">
        <w:rPr>
          <w:rFonts w:ascii="Arial Narrow" w:hAnsi="Arial Narrow"/>
          <w:sz w:val="26"/>
          <w:szCs w:val="26"/>
          <w:lang w:val="sr-Latn-ME"/>
        </w:rPr>
        <w:t xml:space="preserve"> M</w:t>
      </w:r>
      <w:r>
        <w:rPr>
          <w:rFonts w:ascii="Arial Narrow" w:hAnsi="Arial Narrow"/>
          <w:sz w:val="26"/>
          <w:szCs w:val="26"/>
          <w:lang w:val="sr-Latn-ME"/>
        </w:rPr>
        <w:t>.</w:t>
      </w:r>
      <w:r w:rsidRPr="00D833AB">
        <w:rPr>
          <w:rFonts w:ascii="Arial Narrow" w:hAnsi="Arial Narrow"/>
          <w:sz w:val="26"/>
          <w:szCs w:val="26"/>
          <w:lang w:val="sr-Latn-ME"/>
        </w:rPr>
        <w:t xml:space="preserve">, od 10. aprila 2019. godine, nalaz i mišljenje vještaka ekonomsko – finansijske struke od 17. aprila 2019. godine i dopune od 24. maja 2019. godine, 30. oktobra 2019. godine i 12. februara 2020. godine, kao i nalaz i mišljenje vještaka medicinske struke – pulmologa od 24. juna 2019. godine i dopunu od 19. februara 2020. godine. Navedene vještake prvostepeni sud je saslušao i na glavnoj raspravi. </w:t>
      </w:r>
    </w:p>
    <w:p w:rsidR="00D833AB" w:rsidRPr="00D833AB" w:rsidRDefault="00D833AB" w:rsidP="00D833AB">
      <w:pPr>
        <w:spacing w:after="0" w:line="240" w:lineRule="auto"/>
        <w:ind w:firstLine="283"/>
        <w:jc w:val="both"/>
        <w:rPr>
          <w:rFonts w:ascii="Arial Narrow" w:hAnsi="Arial Narrow"/>
          <w:sz w:val="26"/>
          <w:szCs w:val="26"/>
          <w:lang w:val="sr-Latn-ME"/>
        </w:rPr>
      </w:pPr>
    </w:p>
    <w:p w:rsidR="00D833AB" w:rsidRPr="00D833AB" w:rsidRDefault="00D833AB" w:rsidP="00D833AB">
      <w:pPr>
        <w:spacing w:after="0" w:line="240" w:lineRule="auto"/>
        <w:jc w:val="both"/>
        <w:rPr>
          <w:rFonts w:ascii="Arial Narrow" w:hAnsi="Arial Narrow"/>
          <w:sz w:val="26"/>
          <w:szCs w:val="26"/>
          <w:lang w:val="sr-Latn-ME"/>
        </w:rPr>
      </w:pPr>
      <w:r w:rsidRPr="00D833AB">
        <w:rPr>
          <w:rFonts w:ascii="Arial Narrow" w:hAnsi="Arial Narrow"/>
          <w:sz w:val="26"/>
          <w:szCs w:val="26"/>
          <w:lang w:val="sr-Latn-ME"/>
        </w:rPr>
        <w:tab/>
      </w:r>
      <w:r w:rsidRPr="00D833AB">
        <w:rPr>
          <w:rFonts w:ascii="Arial Narrow" w:hAnsi="Arial Narrow"/>
          <w:b/>
          <w:sz w:val="26"/>
          <w:szCs w:val="26"/>
          <w:lang w:val="sr-Latn-ME"/>
        </w:rPr>
        <w:t>25.</w:t>
      </w:r>
      <w:r w:rsidRPr="00D833AB">
        <w:rPr>
          <w:rFonts w:ascii="Arial Narrow" w:hAnsi="Arial Narrow" w:cs="Arial"/>
          <w:color w:val="000000"/>
          <w:sz w:val="26"/>
          <w:szCs w:val="26"/>
          <w:lang w:val="sr-Latn-ME"/>
        </w:rPr>
        <w:t xml:space="preserve"> </w:t>
      </w:r>
      <w:r w:rsidRPr="00D833AB">
        <w:rPr>
          <w:rFonts w:ascii="Arial Narrow" w:hAnsi="Arial Narrow"/>
          <w:sz w:val="26"/>
          <w:szCs w:val="26"/>
          <w:lang w:val="sr-Latn-ME"/>
        </w:rPr>
        <w:t xml:space="preserve">Ustavni sud primjećuje da je podnositeljka u značajnoj mjeri svoj tužbeni zahtjev zasnovala na tvrdnjama da su tuženi u spornom periodu prema njoj vršili mobing i diskriminatorsko postupanje, time što su joj uskraćivali pravo na rad, značajno redukovali, a potom i u potpunosti ukinuli ovlašćenja, neravnomjerno vršili preraspodjelu radnih zadataka, ovlašćenja i zaposlenih u odnosu na druga dva viceguvernera, naročito u odnosu na viceguvernera </w:t>
      </w:r>
      <w:r>
        <w:rPr>
          <w:rFonts w:ascii="Arial Narrow" w:hAnsi="Arial Narrow"/>
          <w:sz w:val="26"/>
          <w:szCs w:val="26"/>
          <w:lang w:val="sr-Latn-ME"/>
        </w:rPr>
        <w:t>N.F.</w:t>
      </w:r>
      <w:r w:rsidRPr="00D833AB">
        <w:rPr>
          <w:rFonts w:ascii="Arial Narrow" w:hAnsi="Arial Narrow"/>
          <w:sz w:val="26"/>
          <w:szCs w:val="26"/>
          <w:lang w:val="sr-Latn-ME"/>
        </w:rPr>
        <w:t>, isplaćivali joj niža primanja u odnosu na drugo lice muškog pola sa istim profesionalnim statusom i akademskim referencama, te što u spornom periodu nije mijenjala guvernera, za razliku od ostalih viceguvernera.</w:t>
      </w:r>
    </w:p>
    <w:p w:rsidR="00D833AB" w:rsidRPr="00D833AB" w:rsidRDefault="00D833AB" w:rsidP="00D833AB">
      <w:pPr>
        <w:spacing w:after="0" w:line="240" w:lineRule="auto"/>
        <w:jc w:val="both"/>
        <w:rPr>
          <w:rFonts w:ascii="Arial Narrow" w:hAnsi="Arial Narrow"/>
          <w:sz w:val="26"/>
          <w:szCs w:val="26"/>
          <w:lang w:val="sr-Latn-ME"/>
        </w:rPr>
      </w:pP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sz w:val="26"/>
          <w:szCs w:val="26"/>
          <w:lang w:val="sr-Latn-ME"/>
        </w:rPr>
        <w:tab/>
      </w:r>
      <w:r w:rsidRPr="00D833AB">
        <w:rPr>
          <w:rFonts w:ascii="Arial Narrow" w:eastAsia="Times New Roman" w:hAnsi="Arial Narrow" w:cs="Times New Roman"/>
          <w:b/>
          <w:sz w:val="26"/>
          <w:szCs w:val="26"/>
          <w:lang w:val="sr-Latn-ME"/>
        </w:rPr>
        <w:t xml:space="preserve">25.1. </w:t>
      </w:r>
      <w:r w:rsidRPr="00D833AB">
        <w:rPr>
          <w:rFonts w:ascii="Arial Narrow" w:eastAsia="Times New Roman" w:hAnsi="Arial Narrow" w:cs="Times New Roman"/>
          <w:sz w:val="26"/>
          <w:szCs w:val="26"/>
          <w:lang w:val="sr-Latn-ME"/>
        </w:rPr>
        <w:t xml:space="preserve">Obrazlažući ove navode, sudovi su ukazali  na to da je u vrijeme imenovanja podnositeljke za viceguvernerku, Zakon o Centralnoj banci Crne Gore (“Sl. list Crne Gore”,br. 40/10 i 46/10) predviđao da viceguverner za kontrolu bankarskog sistema rukovodi poslovima iz te oblasti. Međutim, izmjenama i dopunama Zakona o Centralnoj banci iz 2017. godine ukinuta je zakonska podjela nadležnosti viceguvernera po sektorima, te je propisano da Centralnom bankom rukovodi guverner, koji organizuje njen rad i ima ovlašćenje da pojedine </w:t>
      </w:r>
      <w:r w:rsidRPr="00D833AB">
        <w:rPr>
          <w:rFonts w:ascii="Arial Narrow" w:eastAsia="Times New Roman" w:hAnsi="Arial Narrow" w:cs="Times New Roman"/>
          <w:sz w:val="26"/>
          <w:szCs w:val="26"/>
          <w:lang w:val="sr-Latn-ME"/>
        </w:rPr>
        <w:lastRenderedPageBreak/>
        <w:t xml:space="preserve">poslove iz svoje nadležnosti prenese na viceguvernere. U skladu sa tim zakonskim rješenjem i Statutom Centralne banke Crne Gore, guverner je bio ovlašćen da donosi odluke o organizaciji rada, uključujući određivanje rukovodilaca sektora, preraspodjelu nadležnosti između sektora, kao i izmjene u sastavu radnih i savjetodavnih tijela. Shodno tome, drugotuženi je donio </w:t>
      </w:r>
      <w:r w:rsidRPr="00D833AB">
        <w:rPr>
          <w:rFonts w:ascii="Arial Narrow" w:hAnsi="Arial Narrow"/>
          <w:sz w:val="26"/>
          <w:szCs w:val="26"/>
          <w:lang w:val="sr-Latn-ME"/>
        </w:rPr>
        <w:t>donio Pravilnik o izmjenama i dopunama Pravilnika o sistematizaciji radnih mjesta u Centralnoj banci Crne Gore broj 0102-10686-1/2017, od 25. decembra 2017. godine, prema kojem viceguverneri više nisu vršili nadležnosti kontrole bankarskog sistema i finansijske stabilnosti i platnog prometa, te je istim Pravilnikom uveo novi Sektor za kontrolu pružanja finansijskih usluga, čije je organizovanje Odlukom o prenosu pojedinih poslova na viceguvernerku br.0102-10743-1/2017, od 27. decembra 2017. godine prenio na podnositeljku, dok je drugotuženi na sebe preuzeo rukovođenje Sektorom kontrole bankarskog sistema. Nadalje, drugotuženi je donio Pravilnik o izmjenama Pravilnika o unutrašnjoj organizaciji Centralne banke Crne Gore br. 0102-1481-1/2018, od 31. januara 2018. godine, kojima su poslovi koji se odnose na registar zaduženja prenijeti iz Sektora za pružanje finansijskih usluga u Sektor za kontrolu banaka, shodno čemu je drugotuženi donio Odluku br. 0102-10743-2/2017, od 01. februara 2018. godine kojom su iz djelokruga prenesenih poslova na podnositeljku izbrisani poslovi koji se odnose na registar zaduženja, jer ti poslovi više nisu u djelokrugu Sektora za kontrolu pružanja finansijskih usluga. Konačno, odlukom drugotuženog br. 0102-2649-1/2018, od 12. marta 2018. godine u cjelosti prestala da važi Odluka o prenosu pojedinih poslova na podnositeljku kao viceguvernerku br. 0102-10743-1/2017, od 27. decembra 2017. godine, čime je prestao podnositeljkin angažman na poslovima organizovanja rada Sektora za kontrolu pružanja finansijskih usluga. Istog dana, drugotuženi, u čijoj je nadležnosti shodno odredbi člana 21 Statuta Centralne banke formiranje stalnih i privremenih stručnih i savjetodavnih radnih tijela (komisija, radnih grupa, komiteta, odbora i dr.), Odlukom o izmjeni Odluke o formiranju Investicionog komiteta br. 0102-789-3/2018 ukinuo je podnositeljki članstvo u Investicionom komitetu, pri čemu je prethodno dana 17. januara 2018. godine izmjenom Odluke o formiranju Investicionog komiteta br. 0102-789-1/2018 podnositeljku sa mjesta zamjenika predsjednika Komiteta postavio za člana Komiteta.</w:t>
      </w:r>
      <w:r w:rsidRPr="00D833AB">
        <w:rPr>
          <w:rFonts w:ascii="Arial Narrow" w:eastAsia="Times New Roman" w:hAnsi="Arial Narrow" w:cs="Times New Roman"/>
          <w:sz w:val="26"/>
          <w:szCs w:val="26"/>
          <w:lang w:val="sr-Latn-ME"/>
        </w:rPr>
        <w:t xml:space="preserve"> Svjedoci se nijesu mogli izjasniti o motivima drugotuženog za ovu promjenu, dok iz njegovog iskaza proizilazi da je, nakon donošenja novog Zakona o Centralnoj banci, odlučio da lično preuzme funkciju supervizije banaka, </w:t>
      </w:r>
      <w:r w:rsidRPr="00D833AB">
        <w:rPr>
          <w:rFonts w:ascii="Arial Narrow" w:hAnsi="Arial Narrow"/>
          <w:sz w:val="26"/>
          <w:szCs w:val="26"/>
          <w:lang w:val="sr-Latn-ME"/>
        </w:rPr>
        <w:t>cijeneći da je značaj kontrole banaka utoliko veći kod činjenice da Centralna banka Crne Gore nema emisionu funkciju, ali I uočenim propustima</w:t>
      </w:r>
      <w:r w:rsidRPr="00D833AB">
        <w:rPr>
          <w:rFonts w:ascii="Arial Narrow" w:eastAsia="Times New Roman" w:hAnsi="Arial Narrow" w:cs="Times New Roman"/>
          <w:sz w:val="26"/>
          <w:szCs w:val="26"/>
          <w:lang w:val="sr-Latn-ME"/>
        </w:rPr>
        <w:t xml:space="preserve"> u radu sektora kojim je podnositeljka ranije rukovodila. Takođe, iz iskaza drugotuženog i svjedoka proizilazi da povjeravanje podnositeljki organizaciju i rukovođenje novoformiranim sektorom nije degradacija, već angažman u sektoru od posebnog institucionalnog značaja, kojim je po prvi put uspostavljen nadzor nad institucijama koje ranije nijesu bile pod kontrolom Centralne banke.</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25.2.</w:t>
      </w:r>
      <w:r w:rsidRPr="00D833AB">
        <w:rPr>
          <w:rFonts w:ascii="Arial Narrow" w:eastAsia="Times New Roman" w:hAnsi="Arial Narrow" w:cs="Times New Roman"/>
          <w:sz w:val="26"/>
          <w:szCs w:val="26"/>
          <w:lang w:val="sr-Latn-ME"/>
        </w:rPr>
        <w:t xml:space="preserve"> Sudovi su pojasnili da, kako se radilo o novoformiranom sektoru, prvi zadatak je bio priprema nacrta regulative za sjednicu Savjeta Centralne banke, a odgovornost za izradu nacrta bila je na Sektoru za kontrolu pružanja finansijskih usluga pod rukovođenjem podnositeljke, shodno Odluci od 27. decembra 2017. godine. Zbog nepopunjenosti sektora, na kolegijumu Centralne banke, koji je održan 22. januara 2018. godine odlučeno je da se formiraju dvije radne grupe pod koordinacijom D</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B</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direktora Sektora za kontrolu pružanja finansijskih usluga, sa zadatkom da se izrade nacrti odluka i da se dostave do 9. marta 2018. godine. Iako podnositeljka nije bila direktno uključena u rad ovih grupa, bila je informisana o dinamici rada i rezultatima radnih grupa, što je omogućilo da prati realizaciju zadataka. Bilješke sa kolegijuma guvernera od 22. februara 2018. godine i e -mail korespondencija između </w:t>
      </w:r>
      <w:r w:rsidRPr="00D833AB">
        <w:rPr>
          <w:rFonts w:ascii="Arial Narrow" w:eastAsia="Times New Roman" w:hAnsi="Arial Narrow" w:cs="Times New Roman"/>
          <w:sz w:val="26"/>
          <w:szCs w:val="26"/>
          <w:lang w:val="sr-Latn-ME"/>
        </w:rPr>
        <w:lastRenderedPageBreak/>
        <w:t>podnositeljke i drugotuženog pokazuju da je podnositeljka upozorila na kadrovsku nepopunjenost Sektora za kontrolu pružanja finansijskih usluga, zbog čega nije bilo moguće realizovati zakonom propisane aktivnosti. Zaključeno je da se, do popunjavanja radnih mjesta, u realizaciji tih aktivnosti uključe zaposleni iz drugih organizacionih jedinica. Takođe, iz e-mail korespondencije između podnositeljke i drugotuženog od 27. februara 2018. godine proizilazi da je podnositeljka obavijestila drugotuženog da sa trenutnim kapacitetima ne postoje uslovi za ispunjenje zacrtanih obaveza 31. mart 2018. godine, u okviru zakonom preuzetih zadataka.</w:t>
      </w:r>
      <w:r w:rsidRPr="00D833AB">
        <w:rPr>
          <w:rFonts w:ascii="Times New Roman" w:eastAsia="Times New Roman" w:hAnsi="Times New Roman" w:cs="Times New Roman"/>
          <w:sz w:val="24"/>
          <w:szCs w:val="24"/>
          <w:lang w:val="sr-Latn-ME"/>
        </w:rPr>
        <w:t xml:space="preserve"> </w:t>
      </w:r>
      <w:r w:rsidRPr="00D833AB">
        <w:rPr>
          <w:rFonts w:ascii="Arial Narrow" w:eastAsia="Times New Roman" w:hAnsi="Arial Narrow" w:cs="Times New Roman"/>
          <w:sz w:val="26"/>
          <w:szCs w:val="26"/>
          <w:lang w:val="sr-Latn-ME"/>
        </w:rPr>
        <w:t>S druge strane, drugotuženi je u svom iskazu potvrdio da su svi sektori, prema odluci sa kolegijuma, bili zaduženi da podrže radne grupe, te je smatrao da je podnositeljka imala dovoljno zaposlenih da postigne zadate ciljeve. Ovaj stav je potvrđen iskazom svjedoka D</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B</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koji je, kao predsjednik radne grupe, naveo da su rokovi za pripremu predloga regulative bili zakonom propisani i kratki, ali je, oslanjajući se na iskustvo članova radne grupe, smatrao da se rad na izradi nacrta odluka mogao završiti u tim rokovima. Iako je radna grupa svoj zadatak završila na vrijeme, B</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je istakao da je kontrola obavljenog posla kasnila nekoliko dana.</w:t>
      </w:r>
      <w:r w:rsidRPr="00D833AB">
        <w:rPr>
          <w:rFonts w:ascii="Times New Roman" w:eastAsia="Times New Roman" w:hAnsi="Times New Roman" w:cs="Times New Roman"/>
          <w:sz w:val="24"/>
          <w:szCs w:val="24"/>
          <w:lang w:val="sr-Latn-ME"/>
        </w:rPr>
        <w:t xml:space="preserve"> </w:t>
      </w:r>
      <w:r w:rsidRPr="00D833AB">
        <w:rPr>
          <w:rFonts w:ascii="Arial Narrow" w:eastAsia="Times New Roman" w:hAnsi="Arial Narrow" w:cs="Times New Roman"/>
          <w:sz w:val="26"/>
          <w:szCs w:val="26"/>
          <w:lang w:val="sr-Latn-ME"/>
        </w:rPr>
        <w:t>Dodatno, u svom iskazu kao parnične stranke, drugotuženi je objasnio da su predlozi odluka za implementaciju zakona dostavljeni Savjetu sa kašnjenjem od nekoliko dana, što nije imalo značajnije posljedice, ali je izazvalo zabrinutost da će podnositeljka i ubuduće blagovremeno odgovarati na postavljene zadatke. Zbog profesionalnih propusta podnositeljke, donio je dvije odluke od 12. marta 2018. godine, kojima je podnositeljki prestalo članstvo u Investicionom komitetu i rukovođenje Sektorom za kontrolu pružanja finansijskih usluga.</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sz w:val="26"/>
          <w:szCs w:val="26"/>
          <w:lang w:val="sr-Latn-ME"/>
        </w:rPr>
        <w:t xml:space="preserve"> </w:t>
      </w:r>
      <w:r w:rsidRPr="00D833AB">
        <w:rPr>
          <w:rFonts w:ascii="Arial Narrow" w:eastAsia="Times New Roman" w:hAnsi="Arial Narrow" w:cs="Times New Roman"/>
          <w:sz w:val="26"/>
          <w:szCs w:val="26"/>
          <w:lang w:val="sr-Latn-ME"/>
        </w:rPr>
        <w:tab/>
      </w:r>
      <w:r w:rsidRPr="00D833AB">
        <w:rPr>
          <w:rFonts w:ascii="Arial Narrow" w:eastAsia="Times New Roman" w:hAnsi="Arial Narrow" w:cs="Times New Roman"/>
          <w:b/>
          <w:sz w:val="26"/>
          <w:szCs w:val="26"/>
          <w:lang w:val="sr-Latn-ME"/>
        </w:rPr>
        <w:t xml:space="preserve">25.3. </w:t>
      </w:r>
      <w:r w:rsidRPr="00D833AB">
        <w:rPr>
          <w:rFonts w:ascii="Arial Narrow" w:eastAsia="Times New Roman" w:hAnsi="Arial Narrow" w:cs="Times New Roman"/>
          <w:sz w:val="26"/>
          <w:szCs w:val="26"/>
          <w:lang w:val="sr-Latn-ME"/>
        </w:rPr>
        <w:t>Imajući u vidu navedeno, sudovi su zaključili da odluke drugotuženog od 27. decembra 2017. godine i 12. marta 2018. godine ne predstavljaju mobing niti diskriminaciju, već da je drugotuženi iste donio u okviru svojih zakonskih ovlašćenja da određene nadležnosti prenese na podnositeljku i da formira radna tijela, pri čemu je angažman podnositeljke zasnovao na procjeni njenih dotadašnjih profesionalnih rezultata i ocjeni da su sektori kojima je rukovodila ranije načinili propuste. Odluke kojima je podnositeljki oduzeo nadležnosti rukovođenja Sektorom kontrole bankarskog sistema, Sektorom za kontrolu pružanja finansijskih usluga i članstvo u Investicionom komitetu, nisu joj oduzele zakonska prava, jer je po stupanju na snagu Zakona o izmjenama i dopunama Zakona o Centralnoj banci Crne Gore (04.11.2017.) rukovođenje Centralnom bankom u potpunosti prešlo na guvernera, uz mogućnost da neke poslove delegira viceguvernerima, a koje delegirane nadležnosti guverner može i povući. Drugotuženi nije imao zakonsku obavezu da raspodjelu nadležnosti učini ravnopravnom među viceguvernerima, niti je odluke donio na osnovu pola podnositeljke ili s ciljem njenog zlostavljanja ili diskreditacije. Sudovi su utvrdili da su sporne odluke proistekle isključivo iz legitimnog cilja guvernera da obezbijedi efikasno, zakonito i blagovremeno funkcionisanje Centralne banke, pri čemu su ocjene o profesionalnom angažmanu podnositeljke, koje su uvažili i Savjet Centralne banke i Skupština Crne Gore, bile jedini relevantni kriterijum za donošenje tih odluka. Dodatno, zakonitost navedenih odluka potvrđuje i činjenica da podnositeljka nijednu od njih nije blagovremeno pobijala, već se sa dijelom odluka saglasila i dobrovoljno zaključivala anekse ugovora o radu, dok je pravnu zaštitu koristila samo u odnosu na odluke koje je smatrala spornim, zbog čega se predmetni akti ne mogu kvalifikovati kao zlostavljanje na radu. Sud je naglasio da nijedna od navedenih nadležnosti podnositeljke nije predstavljala stečeno pravo, već je obaveza ili mogućnost delegiranja poslova bila u isključivoj nadležnosti drugotuženog kao guvernera.</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p>
    <w:p w:rsidR="00D833AB" w:rsidRPr="00D833AB" w:rsidRDefault="00D833AB" w:rsidP="00D833AB">
      <w:pPr>
        <w:spacing w:after="0" w:line="240" w:lineRule="auto"/>
        <w:jc w:val="both"/>
        <w:rPr>
          <w:rFonts w:ascii="Arial Narrow" w:hAnsi="Arial Narrow"/>
          <w:sz w:val="26"/>
          <w:szCs w:val="26"/>
          <w:lang w:val="sr-Latn-ME"/>
        </w:rPr>
      </w:pPr>
      <w:r w:rsidRPr="00D833AB">
        <w:rPr>
          <w:rFonts w:ascii="Arial Narrow" w:hAnsi="Arial Narrow"/>
          <w:sz w:val="26"/>
          <w:szCs w:val="26"/>
          <w:lang w:val="sr-Latn-ME"/>
        </w:rPr>
        <w:tab/>
      </w:r>
      <w:r w:rsidRPr="00D833AB">
        <w:rPr>
          <w:rFonts w:ascii="Arial Narrow" w:hAnsi="Arial Narrow"/>
          <w:b/>
          <w:sz w:val="26"/>
          <w:szCs w:val="26"/>
          <w:lang w:val="sr-Latn-ME"/>
        </w:rPr>
        <w:t>25.4.</w:t>
      </w:r>
      <w:r w:rsidRPr="00D833AB">
        <w:rPr>
          <w:rFonts w:ascii="Arial Narrow" w:hAnsi="Arial Narrow"/>
          <w:sz w:val="26"/>
          <w:szCs w:val="26"/>
          <w:lang w:val="sr-Latn-ME"/>
        </w:rPr>
        <w:t xml:space="preserve"> </w:t>
      </w:r>
      <w:r w:rsidRPr="00D833AB">
        <w:rPr>
          <w:rFonts w:ascii="Arial Narrow" w:eastAsia="Times New Roman" w:hAnsi="Arial Narrow" w:cs="Times New Roman"/>
          <w:sz w:val="26"/>
          <w:szCs w:val="26"/>
          <w:lang w:val="sr-Latn-ME"/>
        </w:rPr>
        <w:t xml:space="preserve">Dakle, zbog svega prethodno navedenog, sudovi su mišljenja da je podnositeljki u spornom periodu, a posebno u periodu nakon 12. marta 2018. godine, omogućeno da u </w:t>
      </w:r>
      <w:r w:rsidRPr="00D833AB">
        <w:rPr>
          <w:rFonts w:ascii="Arial Narrow" w:eastAsia="Times New Roman" w:hAnsi="Arial Narrow" w:cs="Times New Roman"/>
          <w:sz w:val="26"/>
          <w:szCs w:val="26"/>
          <w:lang w:val="sr-Latn-ME"/>
        </w:rPr>
        <w:lastRenderedPageBreak/>
        <w:t xml:space="preserve">potpunosti profesionalno obavlja funkciju člana Savjeta Centralne banke, shodno odredbi člana 58 Zakona o Centralnoj banci Crne Gore, pored čega je ista nesporno bila i član Savjeta za finansijsku stabilnost. Zbog toga su sudovi neosnovanim cijenili navode podnositeljke da joj je u spornom periodu uskraćeno pravo na rad. </w:t>
      </w:r>
    </w:p>
    <w:p w:rsidR="00D833AB" w:rsidRPr="00D833AB" w:rsidRDefault="00D833AB" w:rsidP="00D833AB">
      <w:pPr>
        <w:spacing w:after="0" w:line="240" w:lineRule="auto"/>
        <w:jc w:val="both"/>
        <w:rPr>
          <w:rFonts w:ascii="Arial Narrow" w:eastAsia="Times New Roman" w:hAnsi="Arial Narrow" w:cs="Arial"/>
          <w:b/>
          <w:sz w:val="26"/>
          <w:szCs w:val="26"/>
          <w:lang w:val="sr-Latn-ME"/>
        </w:rPr>
      </w:pPr>
    </w:p>
    <w:p w:rsidR="00D833AB" w:rsidRPr="00D833AB" w:rsidRDefault="00D833AB" w:rsidP="00D833AB">
      <w:pPr>
        <w:spacing w:after="0" w:line="240" w:lineRule="auto"/>
        <w:jc w:val="both"/>
        <w:rPr>
          <w:rFonts w:ascii="Arial Narrow" w:eastAsia="Times New Roman" w:hAnsi="Arial Narrow" w:cs="Arial"/>
          <w:vanish/>
          <w:sz w:val="26"/>
          <w:szCs w:val="26"/>
          <w:lang w:val="sr-Latn-ME"/>
        </w:rPr>
      </w:pPr>
      <w:r w:rsidRPr="00D833AB">
        <w:rPr>
          <w:rFonts w:ascii="Arial Narrow" w:eastAsia="Times New Roman" w:hAnsi="Arial Narrow" w:cs="Arial"/>
          <w:b/>
          <w:sz w:val="26"/>
          <w:szCs w:val="26"/>
          <w:lang w:val="sr-Latn-ME"/>
        </w:rPr>
        <w:tab/>
        <w:t>25.5</w:t>
      </w:r>
      <w:r w:rsidRPr="00D833AB">
        <w:rPr>
          <w:rFonts w:ascii="Arial Narrow" w:eastAsia="Times New Roman" w:hAnsi="Arial Narrow" w:cs="Arial"/>
          <w:sz w:val="26"/>
          <w:szCs w:val="26"/>
          <w:lang w:val="sr-Latn-ME"/>
        </w:rPr>
        <w:t>. Takođe, sudovi nijesu prihvatili</w:t>
      </w:r>
      <w:r w:rsidRPr="00D833AB">
        <w:rPr>
          <w:rFonts w:ascii="Arial Narrow" w:eastAsia="Times New Roman" w:hAnsi="Arial Narrow" w:cs="Arial"/>
          <w:b/>
          <w:sz w:val="26"/>
          <w:szCs w:val="26"/>
          <w:lang w:val="sr-Latn-ME"/>
        </w:rPr>
        <w:t xml:space="preserve"> </w:t>
      </w:r>
      <w:r w:rsidRPr="00D833AB">
        <w:rPr>
          <w:rFonts w:ascii="Arial Narrow" w:eastAsia="Times New Roman" w:hAnsi="Arial Narrow" w:cs="Arial"/>
          <w:vanish/>
          <w:sz w:val="26"/>
          <w:szCs w:val="26"/>
          <w:lang w:val="sr-Latn-ME"/>
        </w:rPr>
        <w:t>Top of Form</w:t>
      </w:r>
    </w:p>
    <w:p w:rsidR="00D833AB" w:rsidRPr="00D833AB" w:rsidRDefault="00D833AB" w:rsidP="00D833AB">
      <w:pPr>
        <w:spacing w:after="0" w:line="240" w:lineRule="auto"/>
        <w:jc w:val="both"/>
        <w:rPr>
          <w:rFonts w:ascii="Arial Narrow" w:eastAsia="Times New Roman" w:hAnsi="Arial Narrow" w:cs="Arial"/>
          <w:vanish/>
          <w:sz w:val="26"/>
          <w:szCs w:val="26"/>
          <w:lang w:val="sr-Latn-ME"/>
        </w:rPr>
      </w:pPr>
      <w:r w:rsidRPr="00D833AB">
        <w:rPr>
          <w:rFonts w:ascii="Arial Narrow" w:eastAsia="Times New Roman" w:hAnsi="Arial Narrow" w:cs="Arial"/>
          <w:vanish/>
          <w:sz w:val="26"/>
          <w:szCs w:val="26"/>
          <w:lang w:val="sr-Latn-ME"/>
        </w:rPr>
        <w:t>Bottom of Form</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Arial"/>
          <w:vanish/>
          <w:sz w:val="26"/>
          <w:szCs w:val="26"/>
          <w:lang w:val="sr-Latn-ME"/>
        </w:rPr>
        <w:t>tvrdnju podnositeljke</w:t>
      </w:r>
      <w:r w:rsidRPr="00D833AB">
        <w:rPr>
          <w:rFonts w:ascii="Arial Narrow" w:eastAsia="Times New Roman" w:hAnsi="Arial Narrow" w:cs="Times New Roman"/>
          <w:sz w:val="26"/>
          <w:szCs w:val="26"/>
          <w:lang w:val="sr-Latn-ME"/>
        </w:rPr>
        <w:t xml:space="preserve">da su odluke 12. marta 2018. godine donijete kao sankcija zbog njenog dokumenta „Formalni zahtjev za pokretanje postupka za zaštitu od mobinga“, jer je ovaj dokument dostavljen nakon donošenja predmetnih odluka. </w:t>
      </w:r>
      <w:r w:rsidRPr="00D833AB">
        <w:rPr>
          <w:rFonts w:ascii="Arial Narrow" w:hAnsi="Arial Narrow"/>
          <w:sz w:val="26"/>
          <w:szCs w:val="26"/>
          <w:lang w:val="sr-Latn-ME"/>
        </w:rPr>
        <w:t xml:space="preserve">Iz sadržine spisa predmeta koji su kod prvotuženog formirani po zahtjevu tužilje za pokretanje postupka zaštite od mobinga sudovi su utvrdili da je podnositeljka navedeni zahtjev posredniku dostavila dana 13. marta 2018. godine, dakle, nakon donošenja spornih odluka drugotuženog, te se dokument koji je tužilja dostavila drugotuženom dana 8. marta 2018. godine ne može smatrati zahtjevom podnijetim u skladu sa odredbom čl. 15 Zakona o zabrani zlostavljanja na radu. </w:t>
      </w:r>
      <w:r w:rsidRPr="00D833AB">
        <w:rPr>
          <w:rFonts w:ascii="Arial Narrow" w:eastAsia="Times New Roman" w:hAnsi="Arial Narrow" w:cs="Times New Roman"/>
          <w:sz w:val="26"/>
          <w:szCs w:val="26"/>
          <w:lang w:val="sr-Latn-ME"/>
        </w:rPr>
        <w:t>Sudovi su stanovišta da su odluke donijete u skladu sa zakonskim ovlašćenjima, uzimajući u obzir profesionalni angažman podnositeljke, te da podnositeljka nije osporila akte niti dokazala da su odluke donesene iz razloga poput njenog pola ili revanšizma.</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p>
    <w:p w:rsidR="00D833AB" w:rsidRPr="00D833AB" w:rsidRDefault="00D833AB" w:rsidP="00D833AB">
      <w:pPr>
        <w:spacing w:after="0" w:line="240" w:lineRule="auto"/>
        <w:jc w:val="both"/>
        <w:rPr>
          <w:rFonts w:ascii="Arial Narrow" w:eastAsia="Times New Roman" w:hAnsi="Arial Narrow" w:cs="Times New Roman"/>
          <w:b/>
          <w:sz w:val="26"/>
          <w:szCs w:val="26"/>
          <w:lang w:val="sr-Latn-ME"/>
        </w:rPr>
      </w:pPr>
      <w:r w:rsidRPr="00D833AB">
        <w:rPr>
          <w:rFonts w:ascii="Arial Narrow" w:eastAsia="Times New Roman" w:hAnsi="Arial Narrow" w:cs="Times New Roman"/>
          <w:sz w:val="26"/>
          <w:szCs w:val="26"/>
          <w:lang w:val="sr-Latn-ME"/>
        </w:rPr>
        <w:tab/>
      </w:r>
      <w:r w:rsidRPr="00D833AB">
        <w:rPr>
          <w:rFonts w:ascii="Arial Narrow" w:eastAsia="Times New Roman" w:hAnsi="Arial Narrow" w:cs="Times New Roman"/>
          <w:b/>
          <w:sz w:val="26"/>
          <w:szCs w:val="26"/>
          <w:lang w:val="sr-Latn-ME"/>
        </w:rPr>
        <w:t>25.6.</w:t>
      </w:r>
      <w:r w:rsidRPr="00D833AB">
        <w:rPr>
          <w:rFonts w:ascii="Arial Narrow" w:eastAsia="Times New Roman" w:hAnsi="Arial Narrow" w:cs="Times New Roman"/>
          <w:sz w:val="26"/>
          <w:szCs w:val="26"/>
          <w:lang w:val="sr-Latn-ME"/>
        </w:rPr>
        <w:t xml:space="preserve"> U pogledu navoda podnositeljke da u spornom periodu nije nijedan put mijenjala guvernera, za razliku od ostalih viceguvernera, sudovi su zaključili da kako je po zakonu guverner jedini odgovoran za rukovođenje Centralnom bankom, logično je da pri delegiranju svojih nadležnosti i određivanju ko će ga zamjenjivati u odsustvu, vodi računa isključivo o efikasnom, zakonitom i uspješnom funkcionisanju Centralne banke. Zakon mu ne nalaže obavezu da svoje nadležnosti delegira viceguvernerima niti da to učini ravnomjerno, a viceguverner nema zakonsko pravo da trajno zadrži delegirane nadležnosti nakon što mu iste prenese guverner. Uloga guvernera je, dakle, da svojim odlukama osigura zakonit i efikasan rad Centralne banke, pri čemu delegiranje nadležnosti predstavlja isključivo izvršnu diskreciju guvernera.</w:t>
      </w:r>
    </w:p>
    <w:p w:rsidR="00D833AB" w:rsidRPr="00D833AB" w:rsidRDefault="00D833AB" w:rsidP="00D833AB">
      <w:pPr>
        <w:spacing w:before="100" w:beforeAutospacing="1" w:after="100" w:afterAutospacing="1" w:line="240" w:lineRule="auto"/>
        <w:jc w:val="both"/>
        <w:rPr>
          <w:rFonts w:ascii="Arial Narrow" w:hAnsi="Arial Narrow"/>
          <w:sz w:val="26"/>
          <w:szCs w:val="26"/>
          <w:lang w:val="sr-Latn-ME"/>
        </w:rPr>
      </w:pPr>
      <w:r w:rsidRPr="00D833AB">
        <w:rPr>
          <w:rFonts w:ascii="Arial Narrow" w:eastAsia="Times New Roman" w:hAnsi="Arial Narrow" w:cs="Times New Roman"/>
          <w:sz w:val="26"/>
          <w:szCs w:val="26"/>
          <w:lang w:val="sr-Latn-ME"/>
        </w:rPr>
        <w:tab/>
      </w:r>
      <w:r w:rsidRPr="00D833AB">
        <w:rPr>
          <w:rFonts w:ascii="Arial Narrow" w:hAnsi="Arial Narrow"/>
          <w:b/>
          <w:sz w:val="26"/>
          <w:szCs w:val="26"/>
          <w:lang w:val="sr-Latn-ME"/>
        </w:rPr>
        <w:t xml:space="preserve">26. </w:t>
      </w:r>
      <w:r w:rsidRPr="00D833AB">
        <w:rPr>
          <w:rFonts w:ascii="Arial Narrow" w:hAnsi="Arial Narrow"/>
          <w:sz w:val="26"/>
          <w:szCs w:val="26"/>
          <w:lang w:val="sr-Latn-ME"/>
        </w:rPr>
        <w:t xml:space="preserve">U odnosu na navode podnositeljke da su tuženi vršili </w:t>
      </w:r>
      <w:r w:rsidRPr="00D833AB">
        <w:rPr>
          <w:rFonts w:ascii="Arial Narrow" w:eastAsia="Times New Roman" w:hAnsi="Arial Narrow" w:cs="Times New Roman"/>
          <w:sz w:val="26"/>
          <w:szCs w:val="26"/>
          <w:lang w:val="sr-Latn-ME"/>
        </w:rPr>
        <w:t>mobing nad njom na način što joj nije omogućen rad u za zdravlje adekvatnom radnom prostoru jer je radila u prostoriji koja je preko spoljnih zidova zahvaćena velikom vlagom, naročito u kišnom periodu godine, a koja je prouzrokovana poroznom fasadom na spoljnjem zidu kancelarije podnositeljke, pa su vlaga i isparivanja prouzrokovale velike zdravstvene probleme kod nje i dodatno su otežali njeno narušeno zdravstveno stanje, sudovi su cijenili njene tvrdnje da je u momentu izbora na mjesto viceguvernera bila zdrava osoba sa istorijom respiratornih problema, jer joj je kao djetetu dijagnostifikovana astma, da bi joj se zbog prisustva vlage u njenom kabinetu astma vratila i ponovo joj je dijagnostifikovana u 10. ili 11. mjesecu 2017. godine, te da  tuženi do dana podnošenja tužbe po ovom pitanju nisu učinili apsolutno ništa.</w:t>
      </w:r>
    </w:p>
    <w:p w:rsidR="00D833AB" w:rsidRPr="00D833AB" w:rsidRDefault="00D833AB" w:rsidP="00D833AB">
      <w:pPr>
        <w:spacing w:after="0" w:line="240" w:lineRule="auto"/>
        <w:jc w:val="both"/>
        <w:rPr>
          <w:rFonts w:ascii="Times New Roman" w:eastAsia="Times New Roman" w:hAnsi="Times New Roman" w:cs="Times New Roman"/>
          <w:sz w:val="24"/>
          <w:szCs w:val="24"/>
          <w:lang w:val="sr-Latn-ME"/>
        </w:rPr>
      </w:pPr>
      <w:r w:rsidRPr="00D833AB">
        <w:rPr>
          <w:rFonts w:ascii="Arial Narrow" w:eastAsia="Times New Roman" w:hAnsi="Arial Narrow" w:cs="Times New Roman"/>
          <w:b/>
          <w:sz w:val="26"/>
          <w:szCs w:val="26"/>
          <w:lang w:val="sr-Latn-ME"/>
        </w:rPr>
        <w:tab/>
        <w:t xml:space="preserve">26.1. </w:t>
      </w:r>
      <w:r w:rsidRPr="00D833AB">
        <w:rPr>
          <w:rFonts w:ascii="Arial Narrow" w:eastAsia="Times New Roman" w:hAnsi="Arial Narrow" w:cs="Times New Roman"/>
          <w:sz w:val="26"/>
          <w:szCs w:val="26"/>
          <w:lang w:val="sr-Latn-ME"/>
        </w:rPr>
        <w:t>Tokom postupka</w:t>
      </w:r>
      <w:r w:rsidRPr="00D833AB">
        <w:rPr>
          <w:rFonts w:ascii="Arial Narrow" w:eastAsia="Times New Roman" w:hAnsi="Arial Narrow" w:cs="Times New Roman"/>
          <w:b/>
          <w:sz w:val="26"/>
          <w:szCs w:val="26"/>
          <w:lang w:val="sr-Latn-ME"/>
        </w:rPr>
        <w:t xml:space="preserve"> </w:t>
      </w:r>
      <w:r w:rsidRPr="00D833AB">
        <w:rPr>
          <w:rFonts w:ascii="Arial Narrow" w:eastAsia="Times New Roman" w:hAnsi="Arial Narrow" w:cs="Times New Roman"/>
          <w:sz w:val="26"/>
          <w:szCs w:val="26"/>
          <w:lang w:val="sr-Latn-ME"/>
        </w:rPr>
        <w:t>je utvrđeno da je, radi renoviranja kabineta podnositeljke, prvotuženi zaključio ugovor o izvođenju građevinsko-zanatskih radova sa preduzećem „I</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M</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DOO P</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ali i da se problem vlage u kabinetu podnositeljke ponovo pojavio u jesen i zimu 2017. godine. Takođe je utvrđeno da problem vlage u relevantnom periodu nije bio ograničen samo na kabinet podnositeljke, već je bio prisutan u većem broju prostorija u zgradi Centralne banke, uključujući predkabinet podnositeljke, kancelarije D</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B</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i supervizije, kabinet viceguvernera N</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F</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i druge kancelarije, ukupno oko 16 prostorija. O tome svjedoče iskazi svjedoka, e-mail podnositeljke, kao i zaključci Savjeta Centralne banke sa sjednice održane 30. novembra 2017. godine, kada je naloženo hitno preduzimanje aktivnosti radi sanacije vlage, uz određivanje A</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w:t>
      </w:r>
      <w:r w:rsidRPr="00D833AB">
        <w:rPr>
          <w:rFonts w:ascii="Arial Narrow" w:eastAsia="Times New Roman" w:hAnsi="Arial Narrow" w:cs="Times New Roman"/>
          <w:sz w:val="26"/>
          <w:szCs w:val="26"/>
          <w:lang w:val="sr-Latn-ME"/>
        </w:rPr>
        <w:lastRenderedPageBreak/>
        <w:t>T</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za nosioca tih aktivnosti. Međutim, sud na osnovu izvedenih dokaza nije mogao zaključiti da su tokom mandata podnositeljke kao viceguvernerke sprovedeni radovi kojima bi bili otklonjeni uzroci pojave vlage u njenom kabinetu. Navodi svjedoka A</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T</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da je problem saniran sredinom februara 2018. godine sudovi nijesu prihvatili, jer za takve radove ne postoje materijalni dokazi, a isti su u suprotnosti sa iskazima drugih svjedoka. Naime, svjedok </w:t>
      </w:r>
      <w:r>
        <w:rPr>
          <w:rFonts w:ascii="Arial Narrow" w:eastAsia="Times New Roman" w:hAnsi="Arial Narrow" w:cs="Times New Roman"/>
          <w:sz w:val="26"/>
          <w:szCs w:val="26"/>
          <w:lang w:val="sr-Latn-ME"/>
        </w:rPr>
        <w:t>N.F.</w:t>
      </w:r>
      <w:r w:rsidRPr="00D833AB">
        <w:rPr>
          <w:rFonts w:ascii="Arial Narrow" w:eastAsia="Times New Roman" w:hAnsi="Arial Narrow" w:cs="Times New Roman"/>
          <w:sz w:val="26"/>
          <w:szCs w:val="26"/>
          <w:lang w:val="sr-Latn-ME"/>
        </w:rPr>
        <w:t xml:space="preserve"> je naveo da su u momentu prestanka funkcije podnositeljke tragovi vlage bili vidljivi u oba kabineta, dok je svjedok </w:t>
      </w:r>
      <w:r>
        <w:rPr>
          <w:rFonts w:ascii="Arial Narrow" w:eastAsia="Times New Roman" w:hAnsi="Arial Narrow" w:cs="Times New Roman"/>
          <w:sz w:val="26"/>
          <w:szCs w:val="26"/>
          <w:lang w:val="sr-Latn-ME"/>
        </w:rPr>
        <w:t>M.G.</w:t>
      </w:r>
      <w:r w:rsidRPr="00D833AB">
        <w:rPr>
          <w:rFonts w:ascii="Arial Narrow" w:eastAsia="Times New Roman" w:hAnsi="Arial Narrow" w:cs="Times New Roman"/>
          <w:sz w:val="26"/>
          <w:szCs w:val="26"/>
          <w:lang w:val="sr-Latn-ME"/>
        </w:rPr>
        <w:t xml:space="preserve"> potvrdila da tokom njenog rada u predkabinetu, do avgusta 2018. godine, nijesu preduzete mjere za sanaciju uzroka vlage u kabinetu podnositeljke.</w:t>
      </w:r>
      <w:r w:rsidRPr="00D833AB">
        <w:rPr>
          <w:rFonts w:ascii="Times New Roman" w:eastAsia="Times New Roman" w:hAnsi="Times New Roman" w:cs="Times New Roman"/>
          <w:sz w:val="24"/>
          <w:szCs w:val="24"/>
          <w:lang w:val="sr-Latn-ME"/>
        </w:rPr>
        <w:t xml:space="preserve"> </w:t>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sz w:val="26"/>
          <w:szCs w:val="26"/>
          <w:lang w:val="sr-Latn-ME"/>
        </w:rPr>
      </w:pPr>
      <w:r w:rsidRPr="00D833AB">
        <w:rPr>
          <w:rFonts w:ascii="Arial Narrow" w:hAnsi="Arial Narrow"/>
          <w:b/>
          <w:sz w:val="26"/>
          <w:szCs w:val="26"/>
          <w:lang w:val="sr-Latn-ME"/>
        </w:rPr>
        <w:tab/>
        <w:t>26.2.</w:t>
      </w:r>
      <w:r w:rsidRPr="00D833AB">
        <w:rPr>
          <w:lang w:val="sr-Latn-ME"/>
        </w:rPr>
        <w:t xml:space="preserve"> </w:t>
      </w:r>
      <w:r w:rsidRPr="00D833AB">
        <w:rPr>
          <w:rFonts w:ascii="Arial Narrow" w:hAnsi="Arial Narrow"/>
          <w:sz w:val="26"/>
          <w:szCs w:val="26"/>
          <w:lang w:val="sr-Latn-ME"/>
        </w:rPr>
        <w:t>Radi utvrđivanja uzročno-posljedične veze između stresa, prisustva vlage u radnom prostoru i zdravstvenog stanja podnositeljke, sud je sproveo medicinsko vještačenje po vještaku pulmologu J</w:t>
      </w:r>
      <w:r>
        <w:rPr>
          <w:rFonts w:ascii="Arial Narrow" w:hAnsi="Arial Narrow"/>
          <w:sz w:val="26"/>
          <w:szCs w:val="26"/>
          <w:lang w:val="sr-Latn-ME"/>
        </w:rPr>
        <w:t>.</w:t>
      </w:r>
      <w:r w:rsidRPr="00D833AB">
        <w:rPr>
          <w:rFonts w:ascii="Arial Narrow" w:hAnsi="Arial Narrow"/>
          <w:sz w:val="26"/>
          <w:szCs w:val="26"/>
          <w:lang w:val="sr-Latn-ME"/>
        </w:rPr>
        <w:t xml:space="preserve"> B</w:t>
      </w:r>
      <w:r>
        <w:rPr>
          <w:rFonts w:ascii="Arial Narrow" w:hAnsi="Arial Narrow"/>
          <w:sz w:val="26"/>
          <w:szCs w:val="26"/>
          <w:lang w:val="sr-Latn-ME"/>
        </w:rPr>
        <w:t>.</w:t>
      </w:r>
      <w:r w:rsidRPr="00D833AB">
        <w:rPr>
          <w:rFonts w:ascii="Arial Narrow" w:hAnsi="Arial Narrow"/>
          <w:sz w:val="26"/>
          <w:szCs w:val="26"/>
          <w:lang w:val="sr-Latn-ME"/>
        </w:rPr>
        <w:t xml:space="preserve"> B</w:t>
      </w:r>
      <w:r>
        <w:rPr>
          <w:rFonts w:ascii="Arial Narrow" w:hAnsi="Arial Narrow"/>
          <w:sz w:val="26"/>
          <w:szCs w:val="26"/>
          <w:lang w:val="sr-Latn-ME"/>
        </w:rPr>
        <w:t>.</w:t>
      </w:r>
      <w:r w:rsidRPr="00D833AB">
        <w:rPr>
          <w:rFonts w:ascii="Arial Narrow" w:hAnsi="Arial Narrow"/>
          <w:sz w:val="26"/>
          <w:szCs w:val="26"/>
          <w:lang w:val="sr-Latn-ME"/>
        </w:rPr>
        <w:t xml:space="preserve">. Iz nalaza i mišljenja od 24. juna 2019. godine proizilazi da je podnositeljka u periodu od 27. oktobra 2017. godine do 5. jula 2018. godine </w:t>
      </w:r>
      <w:r w:rsidRPr="00D833AB">
        <w:rPr>
          <w:rFonts w:ascii="Arial Narrow" w:eastAsia="Times New Roman" w:hAnsi="Arial Narrow" w:cs="Times New Roman"/>
          <w:sz w:val="26"/>
          <w:szCs w:val="26"/>
          <w:lang w:val="sr-Latn-ME"/>
        </w:rPr>
        <w:t xml:space="preserve">imala pogoršanje zdravstvenog stanja u vidu učestalih napada kašlja i gušenja, kao simptoma astme, koje je </w:t>
      </w:r>
      <w:r w:rsidRPr="00D833AB">
        <w:rPr>
          <w:rFonts w:ascii="Arial Narrow" w:eastAsia="Times New Roman" w:hAnsi="Arial Narrow" w:cs="Times New Roman"/>
          <w:bCs/>
          <w:sz w:val="26"/>
          <w:szCs w:val="26"/>
          <w:lang w:val="sr-Latn-ME"/>
        </w:rPr>
        <w:t>moglo biti dovedeno u vezu</w:t>
      </w:r>
      <w:r w:rsidRPr="00D833AB">
        <w:rPr>
          <w:rFonts w:ascii="Arial Narrow" w:eastAsia="Times New Roman" w:hAnsi="Arial Narrow" w:cs="Times New Roman"/>
          <w:sz w:val="26"/>
          <w:szCs w:val="26"/>
          <w:lang w:val="sr-Latn-ME"/>
        </w:rPr>
        <w:t xml:space="preserve"> sa uslovima povećane vlage u radnom prostoru, kao i sa eventualnim emocionalnim stresom na radu. Pojasnila je da su vlaga, buđ i stres poznati faktori rizika koji mogu provocirati ili pogoršati simptome astme. U </w:t>
      </w:r>
      <w:r w:rsidRPr="00D833AB">
        <w:rPr>
          <w:rFonts w:ascii="Arial Narrow" w:eastAsia="Times New Roman" w:hAnsi="Arial Narrow" w:cs="Times New Roman"/>
          <w:bCs/>
          <w:sz w:val="26"/>
          <w:szCs w:val="26"/>
          <w:lang w:val="sr-Latn-ME"/>
        </w:rPr>
        <w:t>dopuni nalaza i mišljenja</w:t>
      </w:r>
      <w:r w:rsidRPr="00D833AB">
        <w:rPr>
          <w:rFonts w:ascii="Arial Narrow" w:eastAsia="Times New Roman" w:hAnsi="Arial Narrow" w:cs="Times New Roman"/>
          <w:sz w:val="26"/>
          <w:szCs w:val="26"/>
          <w:lang w:val="sr-Latn-ME"/>
        </w:rPr>
        <w:t xml:space="preserve">, nakon uvida u medicinsku dokumentaciju, vještak je navela da su produženo dejstvo alergena i emocionalni stres mogli biti razlog postojanja simptoma astme i tokom perioda bolovanja, uprkos sprovođenju odgovarajuće terapije, te da je kod tužilje u relevantnom periodu postojalo periodično pogoršanje osnovne bolesti. Međutim, na </w:t>
      </w:r>
      <w:r w:rsidRPr="00D833AB">
        <w:rPr>
          <w:rFonts w:ascii="Arial Narrow" w:eastAsia="Times New Roman" w:hAnsi="Arial Narrow" w:cs="Times New Roman"/>
          <w:bCs/>
          <w:sz w:val="26"/>
          <w:szCs w:val="26"/>
          <w:lang w:val="sr-Latn-ME"/>
        </w:rPr>
        <w:t>ročištu</w:t>
      </w:r>
      <w:r w:rsidRPr="00D833AB">
        <w:rPr>
          <w:rFonts w:ascii="Arial Narrow" w:eastAsia="Times New Roman" w:hAnsi="Arial Narrow" w:cs="Times New Roman"/>
          <w:sz w:val="26"/>
          <w:szCs w:val="26"/>
          <w:lang w:val="sr-Latn-ME"/>
        </w:rPr>
        <w:t xml:space="preserve">, vještak je pojasnila i korigovala raniju formulaciju, ističući da se može izjasniti isključivo u pogledu </w:t>
      </w:r>
      <w:r w:rsidRPr="00D833AB">
        <w:rPr>
          <w:rFonts w:ascii="Arial Narrow" w:eastAsia="Times New Roman" w:hAnsi="Arial Narrow" w:cs="Times New Roman"/>
          <w:bCs/>
          <w:sz w:val="26"/>
          <w:szCs w:val="26"/>
          <w:lang w:val="sr-Latn-ME"/>
        </w:rPr>
        <w:t>mogućnosti</w:t>
      </w:r>
      <w:r w:rsidRPr="00D833AB">
        <w:rPr>
          <w:rFonts w:ascii="Arial Narrow" w:eastAsia="Times New Roman" w:hAnsi="Arial Narrow" w:cs="Times New Roman"/>
          <w:sz w:val="26"/>
          <w:szCs w:val="26"/>
          <w:lang w:val="sr-Latn-ME"/>
        </w:rPr>
        <w:t>, a ne izvjesnosti, da su vlaga i emocionalni stres uticali na pogoršanje astme, budući da ne postoje objektivni medicinski testovi kojima bi se mjerio njihov pojedinačni uticaj, niti individualna granična tolerancija na vlagu kod astmatičnih bolesnika.</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sz w:val="26"/>
          <w:szCs w:val="26"/>
          <w:lang w:val="sr-Latn-ME"/>
        </w:rPr>
        <w:tab/>
      </w:r>
      <w:r w:rsidRPr="00D833AB">
        <w:rPr>
          <w:rFonts w:ascii="Arial Narrow" w:eastAsia="Times New Roman" w:hAnsi="Arial Narrow" w:cs="Times New Roman"/>
          <w:b/>
          <w:sz w:val="26"/>
          <w:szCs w:val="26"/>
          <w:lang w:val="sr-Latn-ME"/>
        </w:rPr>
        <w:t>26.3.</w:t>
      </w:r>
      <w:r w:rsidRPr="00D833AB">
        <w:rPr>
          <w:rFonts w:ascii="Arial Narrow" w:eastAsia="Times New Roman" w:hAnsi="Arial Narrow" w:cs="Times New Roman"/>
          <w:sz w:val="26"/>
          <w:szCs w:val="26"/>
          <w:lang w:val="sr-Latn-ME"/>
        </w:rPr>
        <w:t xml:space="preserve"> Na osnovu navedenog sudovi su zaključili da podnositeljka nije dokazala, niti učinila vjerovatnim, da su astma ili njeno pogoršanje uzrokovani prisustvom vlage i emocionalnim stresom, a dodatno su cijenili i vremenski nesklad između pojave simptoma astme i pojave vlage u kabinetu podnositeljke, budući da je pogoršanje zdravstvenog stanja zabilježeno u periodu 27. oktobra 2017. godine, dok je prisustvo vlage u radnim prostorijama konstatovano tek nakon toga, jesen i zima 2017. godine, tokom perioda obilnih padavina, što dalje umanjuje vjerovatnost postojanja uzročno-posljedične veze.</w:t>
      </w:r>
      <w:r w:rsidRPr="00D833AB">
        <w:rPr>
          <w:rFonts w:ascii="Times New Roman" w:eastAsia="Times New Roman" w:hAnsi="Times New Roman" w:cs="Times New Roman"/>
          <w:sz w:val="24"/>
          <w:szCs w:val="24"/>
          <w:lang w:val="sr-Latn-ME"/>
        </w:rPr>
        <w:t xml:space="preserve"> </w:t>
      </w:r>
      <w:r w:rsidRPr="00D833AB">
        <w:rPr>
          <w:rFonts w:ascii="Arial Narrow" w:eastAsia="Times New Roman" w:hAnsi="Arial Narrow" w:cs="Times New Roman"/>
          <w:sz w:val="26"/>
          <w:szCs w:val="26"/>
          <w:lang w:val="sr-Latn-ME"/>
        </w:rPr>
        <w:t xml:space="preserve">Sudovi su zaključili da u konkretnom slučaju nije postojao cilj mobinga na strani tuženih, jer svako nezakonito postupanje ne predstavlja mobing, a činjenica da je drugotuženi podnositeljki ponudio zamjenu kabineta nakon konstatovanja vlage, što su potvrdili i svjedoci </w:t>
      </w:r>
      <w:r>
        <w:rPr>
          <w:rFonts w:ascii="Arial Narrow" w:eastAsia="Times New Roman" w:hAnsi="Arial Narrow" w:cs="Times New Roman"/>
          <w:sz w:val="26"/>
          <w:szCs w:val="26"/>
          <w:lang w:val="sr-Latn-ME"/>
        </w:rPr>
        <w:t>N.F.</w:t>
      </w:r>
      <w:r w:rsidRPr="00D833AB">
        <w:rPr>
          <w:rFonts w:ascii="Arial Narrow" w:eastAsia="Times New Roman" w:hAnsi="Arial Narrow" w:cs="Times New Roman"/>
          <w:sz w:val="26"/>
          <w:szCs w:val="26"/>
          <w:lang w:val="sr-Latn-ME"/>
        </w:rPr>
        <w:t>, M</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R</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D</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B</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i </w:t>
      </w:r>
      <w:r>
        <w:rPr>
          <w:rFonts w:ascii="Arial Narrow" w:eastAsia="Times New Roman" w:hAnsi="Arial Narrow" w:cs="Times New Roman"/>
          <w:sz w:val="26"/>
          <w:szCs w:val="26"/>
          <w:lang w:val="sr-Latn-ME"/>
        </w:rPr>
        <w:t>M.G.</w:t>
      </w:r>
      <w:r w:rsidRPr="00D833AB">
        <w:rPr>
          <w:rFonts w:ascii="Arial Narrow" w:eastAsia="Times New Roman" w:hAnsi="Arial Narrow" w:cs="Times New Roman"/>
          <w:sz w:val="26"/>
          <w:szCs w:val="26"/>
          <w:lang w:val="sr-Latn-ME"/>
        </w:rPr>
        <w:t>, isključuje namjeru narušavanja njenog zdravlja.</w:t>
      </w:r>
    </w:p>
    <w:p w:rsidR="00D833AB" w:rsidRPr="00D833AB" w:rsidRDefault="00D833AB" w:rsidP="00D833AB">
      <w:pPr>
        <w:spacing w:before="100" w:beforeAutospacing="1" w:after="100" w:afterAutospacing="1" w:line="240" w:lineRule="auto"/>
        <w:jc w:val="both"/>
        <w:rPr>
          <w:rFonts w:ascii="Arial Narrow" w:hAnsi="Arial Narrow" w:cs="Arial"/>
          <w:color w:val="000000"/>
          <w:sz w:val="26"/>
          <w:szCs w:val="26"/>
          <w:lang w:val="sr-Latn-ME"/>
        </w:rPr>
      </w:pPr>
      <w:r w:rsidRPr="00D833AB">
        <w:rPr>
          <w:rFonts w:ascii="Arial Narrow" w:hAnsi="Arial Narrow"/>
          <w:b/>
          <w:sz w:val="26"/>
          <w:szCs w:val="26"/>
          <w:lang w:val="sr-Latn-ME"/>
        </w:rPr>
        <w:tab/>
        <w:t>27.</w:t>
      </w:r>
      <w:r w:rsidRPr="00D833AB">
        <w:rPr>
          <w:rFonts w:ascii="Arial Narrow" w:hAnsi="Arial Narrow" w:cs="Arial"/>
          <w:color w:val="000000"/>
          <w:sz w:val="26"/>
          <w:szCs w:val="26"/>
          <w:lang w:val="sr-Latn-ME"/>
        </w:rPr>
        <w:t xml:space="preserve"> </w:t>
      </w:r>
      <w:r w:rsidRPr="00D833AB">
        <w:rPr>
          <w:rFonts w:ascii="Arial Narrow" w:hAnsi="Arial Narrow"/>
          <w:sz w:val="26"/>
          <w:szCs w:val="26"/>
          <w:lang w:val="sr-Latn-ME"/>
        </w:rPr>
        <w:t>Podnositeljka ustavne žalbe smatra da se mobing nad njom ogleda i kroz širenje neistina o njenom moralu i privatnom životu, i to na način što je u Centralnoj banci kru</w:t>
      </w:r>
      <w:r w:rsidRPr="00D833AB">
        <w:rPr>
          <w:rFonts w:ascii="Arial Narrow" w:hAnsi="Arial Narrow" w:cs="Agency FB"/>
          <w:sz w:val="26"/>
          <w:szCs w:val="26"/>
          <w:lang w:val="sr-Latn-ME"/>
        </w:rPr>
        <w:t>ž</w:t>
      </w:r>
      <w:r w:rsidRPr="00D833AB">
        <w:rPr>
          <w:rFonts w:ascii="Arial Narrow" w:hAnsi="Arial Narrow"/>
          <w:sz w:val="26"/>
          <w:szCs w:val="26"/>
          <w:lang w:val="sr-Latn-ME"/>
        </w:rPr>
        <w:t>io dokument u kojem se ona optu</w:t>
      </w:r>
      <w:r w:rsidRPr="00D833AB">
        <w:rPr>
          <w:rFonts w:ascii="Arial Narrow" w:hAnsi="Arial Narrow" w:cs="Agency FB"/>
          <w:sz w:val="26"/>
          <w:szCs w:val="26"/>
          <w:lang w:val="sr-Latn-ME"/>
        </w:rPr>
        <w:t>ž</w:t>
      </w:r>
      <w:r w:rsidRPr="00D833AB">
        <w:rPr>
          <w:rFonts w:ascii="Arial Narrow" w:hAnsi="Arial Narrow"/>
          <w:sz w:val="26"/>
          <w:szCs w:val="26"/>
          <w:lang w:val="sr-Latn-ME"/>
        </w:rPr>
        <w:t>uje za nemoralno pona</w:t>
      </w:r>
      <w:r w:rsidRPr="00D833AB">
        <w:rPr>
          <w:rFonts w:ascii="Arial Narrow" w:hAnsi="Arial Narrow" w:cs="Agency FB"/>
          <w:sz w:val="26"/>
          <w:szCs w:val="26"/>
          <w:lang w:val="sr-Latn-ME"/>
        </w:rPr>
        <w:t>š</w:t>
      </w:r>
      <w:r w:rsidRPr="00D833AB">
        <w:rPr>
          <w:rFonts w:ascii="Arial Narrow" w:hAnsi="Arial Narrow"/>
          <w:sz w:val="26"/>
          <w:szCs w:val="26"/>
          <w:lang w:val="sr-Latn-ME"/>
        </w:rPr>
        <w:t xml:space="preserve">anje kao </w:t>
      </w:r>
      <w:r w:rsidRPr="00D833AB">
        <w:rPr>
          <w:rFonts w:ascii="Arial Narrow" w:hAnsi="Arial Narrow" w:cs="Agency FB"/>
          <w:sz w:val="26"/>
          <w:szCs w:val="26"/>
          <w:lang w:val="sr-Latn-ME"/>
        </w:rPr>
        <w:t>ž</w:t>
      </w:r>
      <w:r w:rsidRPr="00D833AB">
        <w:rPr>
          <w:rFonts w:ascii="Arial Narrow" w:hAnsi="Arial Narrow"/>
          <w:sz w:val="26"/>
          <w:szCs w:val="26"/>
          <w:lang w:val="sr-Latn-ME"/>
        </w:rPr>
        <w:t>ena, te da drugotuženog dovodi u vezu sa širenjem takvih informacija iz razloga što je taj dokument dostavljen u postupku pred sudovima i predložen kao dokaz od strane tuženih.</w:t>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b/>
          <w:sz w:val="26"/>
          <w:szCs w:val="26"/>
          <w:lang w:val="sr-Latn-ME"/>
        </w:rPr>
      </w:pPr>
      <w:r w:rsidRPr="00D833AB">
        <w:rPr>
          <w:rFonts w:ascii="Arial Narrow" w:eastAsia="Times New Roman" w:hAnsi="Arial Narrow" w:cs="Times New Roman"/>
          <w:sz w:val="26"/>
          <w:szCs w:val="26"/>
          <w:lang w:val="sr-Latn-ME"/>
        </w:rPr>
        <w:tab/>
      </w:r>
      <w:r w:rsidRPr="00D833AB">
        <w:rPr>
          <w:rFonts w:ascii="Arial Narrow" w:eastAsia="Times New Roman" w:hAnsi="Arial Narrow" w:cs="Times New Roman"/>
          <w:b/>
          <w:sz w:val="26"/>
          <w:szCs w:val="26"/>
          <w:lang w:val="sr-Latn-ME"/>
        </w:rPr>
        <w:t>27.1.</w:t>
      </w:r>
      <w:r w:rsidRPr="00D833AB">
        <w:rPr>
          <w:rFonts w:ascii="Arial Narrow" w:eastAsia="Times New Roman" w:hAnsi="Arial Narrow" w:cs="Times New Roman"/>
          <w:sz w:val="26"/>
          <w:szCs w:val="26"/>
          <w:lang w:val="sr-Latn-ME"/>
        </w:rPr>
        <w:t xml:space="preserve"> Sud je utvrdio da dokument na koji tužilja ukazuje predstavlja izjavu koja je navodno sa</w:t>
      </w:r>
      <w:r w:rsidRPr="00D833AB">
        <w:rPr>
          <w:rFonts w:ascii="Arial Narrow" w:eastAsia="Times New Roman" w:hAnsi="Arial Narrow" w:cs="Arial"/>
          <w:sz w:val="26"/>
          <w:szCs w:val="26"/>
          <w:lang w:val="sr-Latn-ME"/>
        </w:rPr>
        <w:t>č</w:t>
      </w:r>
      <w:r w:rsidRPr="00D833AB">
        <w:rPr>
          <w:rFonts w:ascii="Arial Narrow" w:eastAsia="Times New Roman" w:hAnsi="Arial Narrow" w:cs="Times New Roman"/>
          <w:sz w:val="26"/>
          <w:szCs w:val="26"/>
          <w:lang w:val="sr-Latn-ME"/>
        </w:rPr>
        <w:t xml:space="preserve">injena dana </w:t>
      </w:r>
      <w:r w:rsidRPr="00D833AB">
        <w:rPr>
          <w:rFonts w:ascii="Arial Narrow" w:eastAsia="Times New Roman" w:hAnsi="Arial Narrow" w:cs="Agency FB"/>
          <w:sz w:val="26"/>
          <w:szCs w:val="26"/>
          <w:lang w:val="sr-Latn-ME"/>
        </w:rPr>
        <w:t>24. juna 2012. godine</w:t>
      </w:r>
      <w:r w:rsidRPr="00D833AB">
        <w:rPr>
          <w:rFonts w:ascii="Arial Narrow" w:eastAsia="Times New Roman" w:hAnsi="Arial Narrow" w:cs="Times New Roman"/>
          <w:sz w:val="26"/>
          <w:szCs w:val="26"/>
          <w:lang w:val="sr-Latn-ME"/>
        </w:rPr>
        <w:t xml:space="preserve"> i dostavljena savjetniku predsjednika Vlade za vanjsku politiku, ali da isti nije potpisan niti ovjeren slu</w:t>
      </w:r>
      <w:r w:rsidRPr="00D833AB">
        <w:rPr>
          <w:rFonts w:ascii="Arial Narrow" w:eastAsia="Times New Roman" w:hAnsi="Arial Narrow" w:cs="Agency FB"/>
          <w:sz w:val="26"/>
          <w:szCs w:val="26"/>
          <w:lang w:val="sr-Latn-ME"/>
        </w:rPr>
        <w:t>ž</w:t>
      </w:r>
      <w:r w:rsidRPr="00D833AB">
        <w:rPr>
          <w:rFonts w:ascii="Arial Narrow" w:eastAsia="Times New Roman" w:hAnsi="Arial Narrow" w:cs="Times New Roman"/>
          <w:sz w:val="26"/>
          <w:szCs w:val="26"/>
          <w:lang w:val="sr-Latn-ME"/>
        </w:rPr>
        <w:t>benim pe</w:t>
      </w:r>
      <w:r w:rsidRPr="00D833AB">
        <w:rPr>
          <w:rFonts w:ascii="Arial Narrow" w:eastAsia="Times New Roman" w:hAnsi="Arial Narrow" w:cs="Arial"/>
          <w:sz w:val="26"/>
          <w:szCs w:val="26"/>
          <w:lang w:val="sr-Latn-ME"/>
        </w:rPr>
        <w:t>č</w:t>
      </w:r>
      <w:r w:rsidRPr="00D833AB">
        <w:rPr>
          <w:rFonts w:ascii="Arial Narrow" w:eastAsia="Times New Roman" w:hAnsi="Arial Narrow" w:cs="Times New Roman"/>
          <w:sz w:val="26"/>
          <w:szCs w:val="26"/>
          <w:lang w:val="sr-Latn-ME"/>
        </w:rPr>
        <w:t xml:space="preserve">atom, te da se u njemu iznose </w:t>
      </w:r>
      <w:r w:rsidRPr="00D833AB">
        <w:rPr>
          <w:rFonts w:ascii="Arial Narrow" w:eastAsia="Times New Roman" w:hAnsi="Arial Narrow" w:cs="Times New Roman"/>
          <w:sz w:val="26"/>
          <w:szCs w:val="26"/>
          <w:lang w:val="sr-Latn-ME"/>
        </w:rPr>
        <w:lastRenderedPageBreak/>
        <w:t>navodi o navodno nedoli</w:t>
      </w:r>
      <w:r w:rsidRPr="00D833AB">
        <w:rPr>
          <w:rFonts w:ascii="Arial Narrow" w:eastAsia="Times New Roman" w:hAnsi="Arial Narrow" w:cs="Arial"/>
          <w:sz w:val="26"/>
          <w:szCs w:val="26"/>
          <w:lang w:val="sr-Latn-ME"/>
        </w:rPr>
        <w:t>č</w:t>
      </w:r>
      <w:r w:rsidRPr="00D833AB">
        <w:rPr>
          <w:rFonts w:ascii="Arial Narrow" w:eastAsia="Times New Roman" w:hAnsi="Arial Narrow" w:cs="Times New Roman"/>
          <w:sz w:val="26"/>
          <w:szCs w:val="26"/>
          <w:lang w:val="sr-Latn-ME"/>
        </w:rPr>
        <w:t>nom pona</w:t>
      </w:r>
      <w:r w:rsidRPr="00D833AB">
        <w:rPr>
          <w:rFonts w:ascii="Arial Narrow" w:eastAsia="Times New Roman" w:hAnsi="Arial Narrow" w:cs="Agency FB"/>
          <w:sz w:val="26"/>
          <w:szCs w:val="26"/>
          <w:lang w:val="sr-Latn-ME"/>
        </w:rPr>
        <w:t>š</w:t>
      </w:r>
      <w:r w:rsidRPr="00D833AB">
        <w:rPr>
          <w:rFonts w:ascii="Arial Narrow" w:eastAsia="Times New Roman" w:hAnsi="Arial Narrow" w:cs="Times New Roman"/>
          <w:sz w:val="26"/>
          <w:szCs w:val="26"/>
          <w:lang w:val="sr-Latn-ME"/>
        </w:rPr>
        <w:t>anju podnositeljke tokom slu</w:t>
      </w:r>
      <w:r w:rsidRPr="00D833AB">
        <w:rPr>
          <w:rFonts w:ascii="Arial Narrow" w:eastAsia="Times New Roman" w:hAnsi="Arial Narrow" w:cs="Agency FB"/>
          <w:sz w:val="26"/>
          <w:szCs w:val="26"/>
          <w:lang w:val="sr-Latn-ME"/>
        </w:rPr>
        <w:t>ž</w:t>
      </w:r>
      <w:r w:rsidRPr="00D833AB">
        <w:rPr>
          <w:rFonts w:ascii="Arial Narrow" w:eastAsia="Times New Roman" w:hAnsi="Arial Narrow" w:cs="Times New Roman"/>
          <w:sz w:val="26"/>
          <w:szCs w:val="26"/>
          <w:lang w:val="sr-Latn-ME"/>
        </w:rPr>
        <w:t xml:space="preserve">bene posjete delegacije u Monaka. </w:t>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sz w:val="26"/>
          <w:szCs w:val="26"/>
          <w:lang w:val="sr-Latn-ME"/>
        </w:rPr>
      </w:pPr>
      <w:r w:rsidRPr="00D833AB">
        <w:rPr>
          <w:rFonts w:ascii="Arial Narrow" w:hAnsi="Arial Narrow"/>
          <w:sz w:val="26"/>
          <w:szCs w:val="26"/>
          <w:lang w:val="sr-Latn-ME"/>
        </w:rPr>
        <w:tab/>
      </w:r>
      <w:r w:rsidRPr="00D833AB">
        <w:rPr>
          <w:rFonts w:ascii="Arial Narrow" w:hAnsi="Arial Narrow"/>
          <w:b/>
          <w:sz w:val="26"/>
          <w:szCs w:val="26"/>
          <w:lang w:val="sr-Latn-ME"/>
        </w:rPr>
        <w:t>27.2.</w:t>
      </w:r>
      <w:r w:rsidRPr="00D833AB">
        <w:rPr>
          <w:rFonts w:ascii="Arial Narrow" w:hAnsi="Arial Narrow"/>
          <w:sz w:val="26"/>
          <w:szCs w:val="26"/>
          <w:lang w:val="sr-Latn-ME"/>
        </w:rPr>
        <w:t xml:space="preserve"> Sudovi su ukazali da podnositeljka navode o navodnom kruženju dokumenta kojim je optužena za nemoralno ponašanje nije istakla u tužbi, već je tužene sa tim dokumentom dovela u vezu tek nakon što je isti dostavljen prvostepenom sudu kao dokaz uz podnesak punomoćnika tuženih od 18. oktobra 2018. godine, zbog čega zaključuju da za njegov sadržaj nije znala tokom trajanja radnog odnosa kod prvotuženog. Podnositeljka nije učinila vjerovatnim da su tuženi ili zaposleni kod prvotuženog u relevantnom periodu distribuirali sporni dokument, što potvrđuju i iskazi saslušanih svjedoka </w:t>
      </w:r>
      <w:r>
        <w:rPr>
          <w:rFonts w:ascii="Arial Narrow" w:hAnsi="Arial Narrow"/>
          <w:sz w:val="26"/>
          <w:szCs w:val="26"/>
          <w:lang w:val="sr-Latn-ME"/>
        </w:rPr>
        <w:t>M.G.</w:t>
      </w:r>
      <w:r w:rsidRPr="00D833AB">
        <w:rPr>
          <w:rFonts w:ascii="Arial Narrow" w:hAnsi="Arial Narrow"/>
          <w:sz w:val="26"/>
          <w:szCs w:val="26"/>
          <w:lang w:val="sr-Latn-ME"/>
        </w:rPr>
        <w:t>, N</w:t>
      </w:r>
      <w:r>
        <w:rPr>
          <w:rFonts w:ascii="Arial Narrow" w:hAnsi="Arial Narrow"/>
          <w:sz w:val="26"/>
          <w:szCs w:val="26"/>
          <w:lang w:val="sr-Latn-ME"/>
        </w:rPr>
        <w:t>.</w:t>
      </w:r>
      <w:r w:rsidRPr="00D833AB">
        <w:rPr>
          <w:rFonts w:ascii="Arial Narrow" w:hAnsi="Arial Narrow"/>
          <w:sz w:val="26"/>
          <w:szCs w:val="26"/>
          <w:lang w:val="sr-Latn-ME"/>
        </w:rPr>
        <w:t xml:space="preserve"> F</w:t>
      </w:r>
      <w:r>
        <w:rPr>
          <w:rFonts w:ascii="Arial Narrow" w:hAnsi="Arial Narrow"/>
          <w:sz w:val="26"/>
          <w:szCs w:val="26"/>
          <w:lang w:val="sr-Latn-ME"/>
        </w:rPr>
        <w:t>.</w:t>
      </w:r>
      <w:r w:rsidRPr="00D833AB">
        <w:rPr>
          <w:rFonts w:ascii="Arial Narrow" w:hAnsi="Arial Narrow"/>
          <w:sz w:val="26"/>
          <w:szCs w:val="26"/>
          <w:lang w:val="sr-Latn-ME"/>
        </w:rPr>
        <w:t>, M</w:t>
      </w:r>
      <w:r>
        <w:rPr>
          <w:rFonts w:ascii="Arial Narrow" w:hAnsi="Arial Narrow"/>
          <w:sz w:val="26"/>
          <w:szCs w:val="26"/>
          <w:lang w:val="sr-Latn-ME"/>
        </w:rPr>
        <w:t>.</w:t>
      </w:r>
      <w:r w:rsidRPr="00D833AB">
        <w:rPr>
          <w:rFonts w:ascii="Arial Narrow" w:hAnsi="Arial Narrow"/>
          <w:sz w:val="26"/>
          <w:szCs w:val="26"/>
          <w:lang w:val="sr-Latn-ME"/>
        </w:rPr>
        <w:t xml:space="preserve"> R</w:t>
      </w:r>
      <w:r>
        <w:rPr>
          <w:rFonts w:ascii="Arial Narrow" w:hAnsi="Arial Narrow"/>
          <w:sz w:val="26"/>
          <w:szCs w:val="26"/>
          <w:lang w:val="sr-Latn-ME"/>
        </w:rPr>
        <w:t>.</w:t>
      </w:r>
      <w:r w:rsidRPr="00D833AB">
        <w:rPr>
          <w:rFonts w:ascii="Arial Narrow" w:hAnsi="Arial Narrow"/>
          <w:sz w:val="26"/>
          <w:szCs w:val="26"/>
          <w:lang w:val="sr-Latn-ME"/>
        </w:rPr>
        <w:t xml:space="preserve">  R</w:t>
      </w:r>
      <w:r>
        <w:rPr>
          <w:rFonts w:ascii="Arial Narrow" w:hAnsi="Arial Narrow"/>
          <w:sz w:val="26"/>
          <w:szCs w:val="26"/>
          <w:lang w:val="sr-Latn-ME"/>
        </w:rPr>
        <w:t>.</w:t>
      </w:r>
      <w:r w:rsidRPr="00D833AB">
        <w:rPr>
          <w:rFonts w:ascii="Arial Narrow" w:hAnsi="Arial Narrow"/>
          <w:sz w:val="26"/>
          <w:szCs w:val="26"/>
          <w:lang w:val="sr-Latn-ME"/>
        </w:rPr>
        <w:t xml:space="preserve"> L</w:t>
      </w:r>
      <w:r>
        <w:rPr>
          <w:rFonts w:ascii="Arial Narrow" w:hAnsi="Arial Narrow"/>
          <w:sz w:val="26"/>
          <w:szCs w:val="26"/>
          <w:lang w:val="sr-Latn-ME"/>
        </w:rPr>
        <w:t>.</w:t>
      </w:r>
      <w:r w:rsidRPr="00D833AB">
        <w:rPr>
          <w:rFonts w:ascii="Arial Narrow" w:hAnsi="Arial Narrow"/>
          <w:sz w:val="26"/>
          <w:szCs w:val="26"/>
          <w:lang w:val="sr-Latn-ME"/>
        </w:rPr>
        <w:t xml:space="preserve">, </w:t>
      </w:r>
      <w:r w:rsidRPr="00D833AB">
        <w:rPr>
          <w:rFonts w:ascii="Arial Narrow" w:eastAsia="Times New Roman" w:hAnsi="Arial Narrow" w:cs="Times New Roman"/>
          <w:sz w:val="26"/>
          <w:szCs w:val="26"/>
          <w:lang w:val="sr-Latn-ME"/>
        </w:rPr>
        <w:t>iz kojih proizilazi da nijesu imali saznanja o širenju informacija ili dokumenata kojima bi se dovodila u pitanje čast, ugled ili moral podnositeljke, dok je svjedok D</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B</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potvrdio da u njegovom prisustvu podnositeljka nikada nije bila vrijeđana ili omalovažavana, ni profesionalno ni lično. Sud je imao u vidu i iskaz svjedoka L</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koji je naveo da mu je u aprilu 2017. godine dostavljen nepotpisani dokument o prošlosti tužilje, koji je odmah uništio jer nije imao nikakve veze sa Centralnom bankom. </w:t>
      </w:r>
    </w:p>
    <w:p w:rsidR="00D833AB" w:rsidRPr="00D833AB" w:rsidRDefault="00D833AB" w:rsidP="00D833AB">
      <w:pPr>
        <w:spacing w:before="100" w:beforeAutospacing="1" w:after="100" w:afterAutospacing="1" w:line="240" w:lineRule="auto"/>
        <w:jc w:val="both"/>
        <w:rPr>
          <w:rFonts w:ascii="Arial Narrow" w:hAnsi="Arial Narrow"/>
          <w:sz w:val="26"/>
          <w:szCs w:val="26"/>
          <w:lang w:val="sr-Latn-ME"/>
        </w:rPr>
      </w:pPr>
      <w:r w:rsidRPr="00D833AB">
        <w:rPr>
          <w:rFonts w:ascii="Arial Narrow" w:hAnsi="Arial Narrow"/>
          <w:b/>
          <w:sz w:val="26"/>
          <w:szCs w:val="26"/>
          <w:lang w:val="sr-Latn-ME"/>
        </w:rPr>
        <w:tab/>
        <w:t>27.3.</w:t>
      </w:r>
      <w:r w:rsidRPr="00D833AB">
        <w:rPr>
          <w:rFonts w:ascii="Arial Narrow" w:hAnsi="Arial Narrow"/>
          <w:sz w:val="26"/>
          <w:szCs w:val="26"/>
          <w:lang w:val="sr-Latn-ME"/>
        </w:rPr>
        <w:t xml:space="preserve"> Polazeći od prednjeg, sudovi su zaključili da tuženi nijesu učestvovali u širenju spornih informacija, već su u slučaju pokušaja takvog postupanja adekvatno reagovali. Takođe, samo dostavljanje dokumenta od strane punomoćnika tuženih u konkretnom postupku ne može predstavljati zlostavljanje na radu, naročito imajući u vidu da podnositeljka tada više nije bila u radnom odnosu kod prvotuženog, zbog čega eventualna povreda prava ličnosti ne može biti predmet ovog spora. </w:t>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b/>
          <w:sz w:val="26"/>
          <w:szCs w:val="26"/>
          <w:lang w:val="sr-Latn-ME"/>
        </w:rPr>
      </w:pPr>
      <w:r w:rsidRPr="00D833AB">
        <w:rPr>
          <w:rFonts w:ascii="Arial Narrow" w:hAnsi="Arial Narrow" w:cs="Arial"/>
          <w:b/>
          <w:color w:val="000000"/>
          <w:sz w:val="26"/>
          <w:szCs w:val="26"/>
          <w:lang w:val="sr-Latn-ME"/>
        </w:rPr>
        <w:tab/>
        <w:t>28.</w:t>
      </w:r>
      <w:r w:rsidRPr="00D833AB">
        <w:rPr>
          <w:rFonts w:ascii="Arial Narrow" w:hAnsi="Arial Narrow" w:cs="Arial"/>
          <w:color w:val="000000"/>
          <w:sz w:val="26"/>
          <w:szCs w:val="26"/>
          <w:lang w:val="sr-Latn-ME"/>
        </w:rPr>
        <w:t xml:space="preserve"> </w:t>
      </w:r>
      <w:r w:rsidRPr="00D833AB">
        <w:rPr>
          <w:rFonts w:ascii="Arial Narrow" w:eastAsia="Times New Roman" w:hAnsi="Arial Narrow" w:cs="Times New Roman"/>
          <w:sz w:val="26"/>
          <w:szCs w:val="26"/>
          <w:lang w:val="sr-Latn-ME"/>
        </w:rPr>
        <w:t>Podnositeljka ustavne žalbe je smatrala da se vršenje diskriminacije i mobinga od strane tuženih ogledaju u navodnim opstrukcijama tuženih prilikom popunjavanja radnih mjesta u novoformiranom Sektoru za kontrolu pružanja finansijskih usluga, kao i u činjenici da joj je bio preraspoređen samo jedan zaposleni, iako je sektor imao obavezu pripreme podzakonske regulative, navodno sa ciljem da se podnositeljka prikaže kao nekompetentna. Međutim, na osnovu iskaza podnositeljke, drugotuženog i svjedoka, kao i provedenih pisanih dokaza, sud je utvrdio da podnositeljka nije dokazala postojanje takvih opstrukcija, niti namjeru tuženih da je diskredituju u pogledu rukovođenja sektorom.</w:t>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sz w:val="26"/>
          <w:szCs w:val="26"/>
          <w:lang w:val="sr-Latn-ME"/>
        </w:rPr>
      </w:pPr>
      <w:r w:rsidRPr="00D833AB">
        <w:rPr>
          <w:rFonts w:ascii="Times New Roman" w:eastAsia="Times New Roman" w:hAnsi="Times New Roman" w:cs="Times New Roman"/>
          <w:sz w:val="24"/>
          <w:szCs w:val="24"/>
          <w:lang w:val="sr-Latn-ME"/>
        </w:rPr>
        <w:tab/>
      </w:r>
      <w:r w:rsidRPr="00D833AB">
        <w:rPr>
          <w:rFonts w:ascii="Arial Narrow" w:eastAsia="Times New Roman" w:hAnsi="Arial Narrow" w:cs="Times New Roman"/>
          <w:b/>
          <w:sz w:val="26"/>
          <w:szCs w:val="26"/>
          <w:lang w:val="sr-Latn-ME"/>
        </w:rPr>
        <w:t>28.1.</w:t>
      </w:r>
      <w:r w:rsidRPr="00D833AB">
        <w:rPr>
          <w:rFonts w:ascii="Arial Narrow" w:eastAsia="Times New Roman" w:hAnsi="Arial Narrow" w:cs="Times New Roman"/>
          <w:sz w:val="26"/>
          <w:szCs w:val="26"/>
          <w:lang w:val="sr-Latn-ME"/>
        </w:rPr>
        <w:t xml:space="preserve"> Kako je već navedeno, po osnivanju novog sektora njegova osnovna obaveza je bila izrada podzakonske regulative radi implementacije Zakona o finansijskom lizingu, otkupu potraživanja, mikrokreditiranju i kreditno garantnim poslovima, kako bi nakon donošenja tog zakona sektor započeo vršenje svoje funkcije, te da je, iako je sistematizovano 22 radna mjesta, u početku bilo popunjeno svega četiri, zbog čega je postojala potreba za dodatnim kadrovskim angažovanjem.</w:t>
      </w:r>
      <w:r w:rsidRPr="00D833AB">
        <w:rPr>
          <w:rFonts w:ascii="Times New Roman" w:eastAsia="Times New Roman" w:hAnsi="Times New Roman" w:cs="Times New Roman"/>
          <w:sz w:val="24"/>
          <w:szCs w:val="24"/>
          <w:lang w:val="sr-Latn-ME"/>
        </w:rPr>
        <w:t xml:space="preserve"> </w:t>
      </w:r>
      <w:r w:rsidRPr="00D833AB">
        <w:rPr>
          <w:rFonts w:ascii="Arial Narrow" w:eastAsia="Times New Roman" w:hAnsi="Arial Narrow" w:cs="Times New Roman"/>
          <w:sz w:val="26"/>
          <w:szCs w:val="26"/>
          <w:lang w:val="sr-Latn-ME"/>
        </w:rPr>
        <w:t>Sudovi su</w:t>
      </w:r>
      <w:r w:rsidRPr="00D833AB">
        <w:rPr>
          <w:rFonts w:ascii="Times New Roman" w:eastAsia="Times New Roman" w:hAnsi="Times New Roman" w:cs="Times New Roman"/>
          <w:sz w:val="24"/>
          <w:szCs w:val="24"/>
          <w:lang w:val="sr-Latn-ME"/>
        </w:rPr>
        <w:t xml:space="preserve">, </w:t>
      </w:r>
      <w:r w:rsidRPr="00D833AB">
        <w:rPr>
          <w:rFonts w:ascii="Arial Narrow" w:eastAsia="Times New Roman" w:hAnsi="Arial Narrow" w:cs="Times New Roman"/>
          <w:sz w:val="26"/>
          <w:szCs w:val="26"/>
          <w:lang w:val="sr-Latn-ME"/>
        </w:rPr>
        <w:t xml:space="preserve">iz provedenih dokaza, utvrdili da su tuženi prepoznali potrebu jačanja kadrovskih kapaciteta sektora i da su na više kolegijuma doneseni zaključci o pružanju pune podrške radu sektora i njegovom postepenom kadrovskom popunjavanju, do potpunog funkcionisanja sektora, da joj se dostave spiskovi potencijalnih kandidata i da se popunjavanje radnih mjesta sprovodi fazno, prvenstveno putem internih prerasporeda, a kada se steknu uslovi i javnim oglašavanjem. Zbog raspisanih predsjedničkih izbora javni konkursi nijesu bili mogući, pa je postupak popunjavanja sprovođen internim oglasima, ali zbog malog interesovanja zaposlenih nije bilo moguće ni na taj način popuniti sva radnja mjesta u sektoru. Uprkos tome, odobreni su pojedini prerasporedi, formirane su dvije radne grupe za izradu nacrta podzakonskih akata, u koje su, pored zaposlenih u sektoru podnositeljke, bili uključeni </w:t>
      </w:r>
      <w:r w:rsidRPr="00D833AB">
        <w:rPr>
          <w:rFonts w:ascii="Arial Narrow" w:eastAsia="Times New Roman" w:hAnsi="Arial Narrow" w:cs="Times New Roman"/>
          <w:sz w:val="26"/>
          <w:szCs w:val="26"/>
          <w:lang w:val="sr-Latn-ME"/>
        </w:rPr>
        <w:lastRenderedPageBreak/>
        <w:t>i zaposleni iz drugih organizacionih jedinica, a podnositeljki su ponuđena i konkretna kadrovska rješenja, od kojih je jedno i sama odbila, obrazlažući da u datoj fazi preferira angažovanje mlađih službenika na nižim hijerarhijskim nivoima. Takođe je utvrđeno da je, radi olakšavanja popunjavanja sektora, odstupano od uobičajenog pravila pribavljanja saglasnosti rukovodilaca drugih sektora. Sudovi su ocijenili nelogičnom tvrdnju da su tuženi namjerno uskraćivali kadrove kako bi podnositeljku učinili nekompetentnom, imajući u vidu da su upravo zbog kadrovske nepopunjenosti preduzete mjere formiranja radnih grupa i uključivanja zaposlenih iz drugih sektora, te da su, prema iskazima, zadaci mogli biti izvršeni u predviđenim rokovima.</w:t>
      </w:r>
      <w:r w:rsidRPr="00D833AB">
        <w:rPr>
          <w:rFonts w:ascii="Times New Roman" w:eastAsia="Times New Roman" w:hAnsi="Times New Roman" w:cs="Times New Roman"/>
          <w:sz w:val="24"/>
          <w:szCs w:val="24"/>
          <w:lang w:val="sr-Latn-ME"/>
        </w:rPr>
        <w:t xml:space="preserve"> </w:t>
      </w:r>
      <w:r w:rsidRPr="00D833AB">
        <w:rPr>
          <w:rFonts w:ascii="Arial Narrow" w:eastAsia="Times New Roman" w:hAnsi="Arial Narrow" w:cs="Times New Roman"/>
          <w:sz w:val="26"/>
          <w:szCs w:val="26"/>
          <w:lang w:val="sr-Latn-ME"/>
        </w:rPr>
        <w:t>Iz svega navedenog sudovi su zaključili da su tuženi preduzimali kontinuirane aktivnosti radi kadrovskog jačanja sektora, te da ne postoje dokazi o namjernoj opstrukciji popunjavanja radnih mjesta.</w:t>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lang w:val="sr-Latn-ME"/>
        </w:rPr>
      </w:pPr>
      <w:r w:rsidRPr="00D833AB">
        <w:rPr>
          <w:rFonts w:ascii="Arial Narrow" w:eastAsia="Times New Roman" w:hAnsi="Arial Narrow" w:cs="Times New Roman"/>
          <w:b/>
          <w:sz w:val="26"/>
          <w:szCs w:val="26"/>
          <w:lang w:val="sr-Latn-ME"/>
        </w:rPr>
        <w:tab/>
        <w:t>29.</w:t>
      </w:r>
      <w:r w:rsidRPr="00D833AB">
        <w:rPr>
          <w:rFonts w:ascii="Arial Narrow" w:eastAsia="Times New Roman" w:hAnsi="Arial Narrow" w:cs="Times New Roman"/>
          <w:sz w:val="26"/>
          <w:szCs w:val="26"/>
          <w:lang w:val="sr-Latn-ME"/>
        </w:rPr>
        <w:t xml:space="preserve"> </w:t>
      </w:r>
      <w:r w:rsidRPr="00D833AB">
        <w:rPr>
          <w:rFonts w:ascii="Arial Narrow" w:hAnsi="Arial Narrow"/>
          <w:sz w:val="26"/>
          <w:szCs w:val="26"/>
          <w:lang w:val="sr-Latn-ME"/>
        </w:rPr>
        <w:t>Kada su u pitanju</w:t>
      </w:r>
      <w:r w:rsidRPr="00D833AB">
        <w:rPr>
          <w:rFonts w:ascii="Arial Narrow" w:hAnsi="Arial Narrow"/>
          <w:b/>
          <w:sz w:val="26"/>
          <w:szCs w:val="26"/>
          <w:lang w:val="sr-Latn-ME"/>
        </w:rPr>
        <w:t xml:space="preserve"> </w:t>
      </w:r>
      <w:r w:rsidRPr="00D833AB">
        <w:rPr>
          <w:rFonts w:ascii="Arial Narrow" w:hAnsi="Arial Narrow"/>
          <w:sz w:val="26"/>
          <w:szCs w:val="26"/>
          <w:lang w:val="sr-Latn-ME"/>
        </w:rPr>
        <w:t xml:space="preserve">navodi podnositeljke da su joj isplaćivana niža primanja u odnosu na drugo lice muškog pola sa istim profesionalnim statusom i akademskim referencama, sudovi su iz </w:t>
      </w:r>
      <w:r w:rsidRPr="00D833AB">
        <w:rPr>
          <w:rFonts w:ascii="Arial Narrow" w:eastAsia="Times New Roman" w:hAnsi="Arial Narrow" w:cs="Times New Roman"/>
          <w:sz w:val="26"/>
          <w:szCs w:val="26"/>
          <w:lang w:val="sr-Latn-ME"/>
        </w:rPr>
        <w:t xml:space="preserve">nalaza vještaka dravka Poleksić utvrdili da su osnovne neto i bruto zarade viceguvernera, uključujući podnositeljku, obračunate na osnovu koeficijenata i složenosti radnog mjesta, </w:t>
      </w:r>
      <w:r w:rsidRPr="00D833AB">
        <w:rPr>
          <w:rFonts w:ascii="Arial Narrow" w:hAnsi="Arial Narrow"/>
          <w:sz w:val="26"/>
          <w:szCs w:val="26"/>
          <w:lang w:val="sr-Latn-ME"/>
        </w:rPr>
        <w:t>te da se razlike u isplaćenoj osnovnoj zaradi između viceguvernera u spornom periodu odnose na minuli rad.</w:t>
      </w:r>
      <w:r w:rsidRPr="00D833AB">
        <w:rPr>
          <w:rFonts w:ascii="Arial Narrow" w:eastAsia="Times New Roman" w:hAnsi="Arial Narrow" w:cs="Times New Roman"/>
          <w:sz w:val="26"/>
          <w:szCs w:val="26"/>
          <w:lang w:val="sr-Latn-ME"/>
        </w:rPr>
        <w:t xml:space="preserve"> Razlika u osnovnoj zaradi za podnositeljku u maju 2018. godine proizilazi</w:t>
      </w:r>
      <w:r w:rsidRPr="00D833AB">
        <w:rPr>
          <w:rFonts w:ascii="Arial Narrow" w:eastAsia="Times New Roman" w:hAnsi="Arial Narrow" w:cs="Times New Roman"/>
          <w:lang w:val="sr-Latn-ME"/>
        </w:rPr>
        <w:t xml:space="preserve"> </w:t>
      </w:r>
      <w:r w:rsidRPr="00D833AB">
        <w:rPr>
          <w:rFonts w:ascii="Arial Narrow" w:eastAsia="Times New Roman" w:hAnsi="Arial Narrow" w:cs="Times New Roman"/>
          <w:sz w:val="26"/>
          <w:szCs w:val="26"/>
          <w:lang w:val="sr-Latn-ME"/>
        </w:rPr>
        <w:t>jer je obračunata u skladu sa brojem dana bolovanja,</w:t>
      </w:r>
      <w:r w:rsidRPr="00D833AB">
        <w:rPr>
          <w:rFonts w:ascii="Arial Narrow" w:eastAsia="Times New Roman" w:hAnsi="Arial Narrow" w:cs="Times New Roman"/>
          <w:lang w:val="sr-Latn-ME"/>
        </w:rPr>
        <w:t xml:space="preserve"> </w:t>
      </w:r>
      <w:r w:rsidRPr="00D833AB">
        <w:rPr>
          <w:rFonts w:ascii="Arial Narrow" w:eastAsia="Times New Roman" w:hAnsi="Arial Narrow" w:cs="Times New Roman"/>
          <w:sz w:val="26"/>
          <w:szCs w:val="26"/>
          <w:lang w:val="sr-Latn-ME"/>
        </w:rPr>
        <w:t xml:space="preserve">a za mjesec jul 2018. godine zarada podnositeljke se razlikuje jer je izvršen obračun srazmjerno broju dana obavljanja dužnosti do 5. jula 2018. godine. U spornom periodu, podnositeljka i viceguverneri </w:t>
      </w:r>
      <w:r>
        <w:rPr>
          <w:rFonts w:ascii="Arial Narrow" w:eastAsia="Times New Roman" w:hAnsi="Arial Narrow" w:cs="Times New Roman"/>
          <w:sz w:val="26"/>
          <w:szCs w:val="26"/>
          <w:lang w:val="sr-Latn-ME"/>
        </w:rPr>
        <w:t>N.F.</w:t>
      </w:r>
      <w:r w:rsidRPr="00D833AB">
        <w:rPr>
          <w:rFonts w:ascii="Arial Narrow" w:eastAsia="Times New Roman" w:hAnsi="Arial Narrow" w:cs="Times New Roman"/>
          <w:sz w:val="26"/>
          <w:szCs w:val="26"/>
          <w:lang w:val="sr-Latn-ME"/>
        </w:rPr>
        <w:t xml:space="preserve"> i M</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R</w:t>
      </w:r>
      <w:r>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ostvarili su jednak iznos primanja za članstvo u Savjetu Centralne banke, Investicionom komitetu i Savjetu za finansijsku stabilnost, u skladu s periodom njihovog članstva.</w:t>
      </w:r>
      <w:r w:rsidRPr="00D833AB">
        <w:rPr>
          <w:rFonts w:ascii="Arial Narrow" w:hAnsi="Arial Narrow"/>
          <w:sz w:val="26"/>
          <w:szCs w:val="26"/>
          <w:lang w:val="sr-Latn-ME"/>
        </w:rPr>
        <w:t xml:space="preserve"> </w:t>
      </w:r>
      <w:r w:rsidRPr="00D833AB">
        <w:rPr>
          <w:rFonts w:ascii="Arial Narrow" w:eastAsia="Times New Roman" w:hAnsi="Arial Narrow" w:cs="Times New Roman"/>
          <w:sz w:val="26"/>
          <w:szCs w:val="26"/>
          <w:lang w:val="sr-Latn-ME"/>
        </w:rPr>
        <w:t>Pored toga, nalazi vještaka pokazuju da je viceguverneru F</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u aprilu 2018. godine isplaćena dodatna naknada u iznosu od 400,00 eura za članstvo u Komisiji za dodjelu godišnje nagrade, te</w:t>
      </w:r>
      <w:r w:rsidRPr="00D833AB">
        <w:rPr>
          <w:rFonts w:ascii="Arial Narrow" w:eastAsia="Times New Roman" w:hAnsi="Arial Narrow" w:cs="Times New Roman"/>
          <w:lang w:val="sr-Latn-ME"/>
        </w:rPr>
        <w:t xml:space="preserve"> </w:t>
      </w:r>
      <w:r w:rsidRPr="00D833AB">
        <w:rPr>
          <w:rFonts w:ascii="Arial Narrow" w:eastAsia="Times New Roman" w:hAnsi="Arial Narrow" w:cs="Times New Roman"/>
          <w:sz w:val="26"/>
          <w:szCs w:val="26"/>
          <w:lang w:val="sr-Latn-ME"/>
        </w:rPr>
        <w:t>da u periodu od aprila 2018. godine, odnosno u mjesecu koji je uslijedio nakon mjeseca u kojem je podnositeljki prestalo članstvo u Investicionom komitetu, ni ostala dva viceguvernera više nisu ostvarivala naknadu za članstvo u navedenom tijelu.</w:t>
      </w:r>
      <w:r w:rsidRPr="00D833AB">
        <w:rPr>
          <w:rFonts w:ascii="Arial Narrow" w:eastAsia="Times New Roman" w:hAnsi="Arial Narrow" w:cs="Times New Roman"/>
          <w:lang w:val="sr-Latn-ME"/>
        </w:rPr>
        <w:t xml:space="preserve"> </w:t>
      </w:r>
      <w:r w:rsidRPr="00D833AB">
        <w:rPr>
          <w:rFonts w:ascii="Arial Narrow" w:eastAsia="Times New Roman" w:hAnsi="Arial Narrow" w:cs="Times New Roman"/>
          <w:sz w:val="26"/>
          <w:szCs w:val="26"/>
          <w:lang w:val="sr-Latn-ME"/>
        </w:rPr>
        <w:t>Svi viceguverneri, uključujući podnositeljku, primali približno iste iznose na ime naknade za prevoz (podnositeljka 212,80 €, viceguverneru F</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271,27 €, viceguverneru R</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184,00 €) i ostale naknade (podnositeljki 250,00 €, viceguvernerima F</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i R</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po 100,00 €).</w:t>
      </w:r>
      <w:r w:rsidRPr="00D833AB">
        <w:rPr>
          <w:rFonts w:ascii="Arial Narrow" w:hAnsi="Arial Narrow"/>
          <w:sz w:val="26"/>
          <w:szCs w:val="26"/>
          <w:lang w:val="sr-Latn-ME"/>
        </w:rPr>
        <w:t xml:space="preserve"> </w:t>
      </w:r>
      <w:r w:rsidRPr="00D833AB">
        <w:rPr>
          <w:rFonts w:ascii="Arial Narrow" w:eastAsia="Times New Roman" w:hAnsi="Arial Narrow" w:cs="Times New Roman"/>
          <w:sz w:val="26"/>
          <w:szCs w:val="26"/>
          <w:lang w:val="sr-Latn-ME"/>
        </w:rPr>
        <w:t>Kada je riječ o službenim putovanjima, podnositeljki je isplaćen iznos od 9.908,42 € za službena putovanja u zemlji i inostranstvu, da je viceguverneru F</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isplaćen iznos od 14.804,38€, a viceguverneru R</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iznos od 498,96€. Takođe, podnositeljka je primila naknadu za stručna usavršavanja u iznosu od 3.430,95 €, dok ostala dva viceguvernera nisu ostvarivala prihod na tom osnovu.</w:t>
      </w:r>
      <w:r w:rsidRPr="00D833AB">
        <w:rPr>
          <w:rFonts w:ascii="Arial Narrow" w:hAnsi="Arial Narrow"/>
          <w:sz w:val="26"/>
          <w:szCs w:val="26"/>
          <w:lang w:val="sr-Latn-ME"/>
        </w:rPr>
        <w:t xml:space="preserve"> </w:t>
      </w:r>
      <w:r w:rsidRPr="00D833AB">
        <w:rPr>
          <w:rFonts w:ascii="Arial Narrow" w:eastAsia="Times New Roman" w:hAnsi="Arial Narrow" w:cs="Times New Roman"/>
          <w:sz w:val="26"/>
          <w:szCs w:val="26"/>
          <w:lang w:val="sr-Latn-ME"/>
        </w:rPr>
        <w:t xml:space="preserve">Za opremanje i renoviranje njenog kabineta u periodu od 2016. do 2017. godine, izdvojeno je ukupno 18.719,69 €, a nakon opremanja i renoviranja podnositeljkinog kabineta u 2016. godini, njen kabinet se nije pisano izjašnjavao o potrebi za novim investicionim radovima u toku 2018. godine. Polazeći od navedenog, </w:t>
      </w:r>
      <w:r w:rsidRPr="00D833AB">
        <w:rPr>
          <w:rFonts w:ascii="Arial Narrow" w:hAnsi="Arial Narrow"/>
          <w:sz w:val="26"/>
          <w:szCs w:val="26"/>
          <w:lang w:val="sr-Latn-ME"/>
        </w:rPr>
        <w:t xml:space="preserve">sudovi su zaključili </w:t>
      </w:r>
      <w:r w:rsidRPr="00D833AB">
        <w:rPr>
          <w:rFonts w:ascii="Arial Narrow" w:eastAsia="Times New Roman" w:hAnsi="Arial Narrow" w:cs="Times New Roman"/>
          <w:sz w:val="26"/>
          <w:szCs w:val="26"/>
          <w:lang w:val="sr-Latn-ME"/>
        </w:rPr>
        <w:t>da podnositeljka nije bila diskriminisana u odnosu na ostale viceguvernere, već je primala iste ili slične naknade i plate u skladu sa zakonskim propisima i internim odlukama</w:t>
      </w:r>
      <w:r w:rsidRPr="00D833AB">
        <w:rPr>
          <w:rFonts w:ascii="Arial Narrow" w:eastAsia="Times New Roman" w:hAnsi="Arial Narrow" w:cs="Times New Roman"/>
          <w:lang w:val="sr-Latn-ME"/>
        </w:rPr>
        <w:t>.</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30.</w:t>
      </w:r>
      <w:r w:rsidRPr="00D833AB">
        <w:rPr>
          <w:rFonts w:ascii="Arial Narrow" w:eastAsia="Times New Roman" w:hAnsi="Arial Narrow" w:cs="Arial"/>
          <w:color w:val="000000"/>
          <w:sz w:val="26"/>
          <w:szCs w:val="26"/>
          <w:lang w:val="sr-Latn-ME"/>
        </w:rPr>
        <w:t xml:space="preserve"> </w:t>
      </w:r>
      <w:r w:rsidRPr="00D833AB">
        <w:rPr>
          <w:rFonts w:ascii="Arial Narrow" w:eastAsia="Times New Roman" w:hAnsi="Arial Narrow" w:cs="Times New Roman"/>
          <w:sz w:val="26"/>
          <w:szCs w:val="26"/>
          <w:lang w:val="sr-Latn-ME"/>
        </w:rPr>
        <w:t xml:space="preserve">Sud je cijenio navode podnositeljke da je u periodu 27. oktobra 2017. godine do 5. jula 2018. godine bila izložena diskriminatorskom i zlostavljačkom postupanju od strane drugotuženog zbog navodnog prekida komunikacije, ali je iz izvedenih dokaza utvrđeno da su problemi u komunikaciji između podnositeljke i drugotuženog nastali kao posljedica profesionalnog neslaganja nakon propusta u pripremi regulative za implementaciju Međunarodnih finansijskih standarda 9, koja je bila u nadležnosti sektora kojim je rukovodila podnositeljka. Naime, neposredno prije održavanja sjednice Savjeta Centralne banke utvrđeno </w:t>
      </w:r>
      <w:r w:rsidRPr="00D833AB">
        <w:rPr>
          <w:rFonts w:ascii="Arial Narrow" w:eastAsia="Times New Roman" w:hAnsi="Arial Narrow" w:cs="Times New Roman"/>
          <w:sz w:val="26"/>
          <w:szCs w:val="26"/>
          <w:lang w:val="sr-Latn-ME"/>
        </w:rPr>
        <w:lastRenderedPageBreak/>
        <w:t xml:space="preserve">je da procjena rizika za jednu banku nije bila pravilno izvršena, zbog čega predložene odluke nijesu usvojene, već vraćene na doradu. Iz zapisnika sa sjednice Savjeta proizilazi da predlozi nijesu bili pripremljeni u skladu sa Poslovnikom, niti su sadržali cjelovito obrazloženje i kvantifikaciju uticaja na bankarski sistem. Zbog navedenog propusta, drugotuženi je bio kritičan prema radu sektora kojim je rukovodila podnositeljka, nakon čega je došlo do profesionalnog neslaganja između stranaka. Iz iskaza drugotuženog i saslušanih svjedoka, sudovi su utvrdili da nije došlo do prekida komunikacije, niti do uvredljivog, nepristojnog ili nekorektnog ponašanja prema podnositeljki. Svjedoci su saglasno naveli da su eventualni nesporazumi imali profesionalni karakter i da nijesu prelazili granice dozvoljene poslovne komunikacije. Sud je cijenio i iskaz svjedokinje </w:t>
      </w:r>
      <w:r>
        <w:rPr>
          <w:rFonts w:ascii="Arial Narrow" w:eastAsia="Times New Roman" w:hAnsi="Arial Narrow" w:cs="Times New Roman"/>
          <w:sz w:val="26"/>
          <w:szCs w:val="26"/>
          <w:lang w:val="sr-Latn-ME"/>
        </w:rPr>
        <w:t>M.G.</w:t>
      </w:r>
      <w:r w:rsidRPr="00D833AB">
        <w:rPr>
          <w:rFonts w:ascii="Arial Narrow" w:eastAsia="Times New Roman" w:hAnsi="Arial Narrow" w:cs="Times New Roman"/>
          <w:sz w:val="26"/>
          <w:szCs w:val="26"/>
          <w:lang w:val="sr-Latn-ME"/>
        </w:rPr>
        <w:t xml:space="preserve"> o pogoršanju psihofizičkog stanja tužilje i njenom osjećaju izolovanosti na poslu, međutim, navedeni iskaz ne potvrđuje postojanje diskriminatorskog ili zlostavljačkog postupanja, jer svjedokinji nije bila poznata pozadina navedenog stanja, niti je utvrđeno da je isto posljedica postupanja drugotuženog. U konačnom, sudovi su stanovišta da podnositeljka nije dokazala postojanje diskriminacije niti zlostavljanja na radu, već da je u konkretnom slučaju došlo do profesionalnog neslaganja i kritike rada, što samo po sebi ne predstavlja povredu prava podnositeljke.</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sz w:val="26"/>
          <w:szCs w:val="26"/>
          <w:lang w:val="sr-Latn-ME"/>
        </w:rPr>
        <w:t>.</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r w:rsidRPr="00D833AB">
        <w:rPr>
          <w:rFonts w:ascii="Times New Roman" w:eastAsia="Times New Roman" w:hAnsi="Times New Roman" w:cs="Times New Roman"/>
          <w:sz w:val="24"/>
          <w:szCs w:val="24"/>
          <w:lang w:val="sr-Latn-ME"/>
        </w:rPr>
        <w:tab/>
      </w:r>
      <w:r w:rsidRPr="00D833AB">
        <w:rPr>
          <w:rFonts w:ascii="Arial Narrow" w:eastAsia="Times New Roman" w:hAnsi="Arial Narrow" w:cs="Times New Roman"/>
          <w:b/>
          <w:sz w:val="26"/>
          <w:szCs w:val="26"/>
          <w:lang w:val="sr-Latn-ME"/>
        </w:rPr>
        <w:t xml:space="preserve">30.1. </w:t>
      </w:r>
      <w:r w:rsidRPr="00D833AB">
        <w:rPr>
          <w:rFonts w:ascii="Arial Narrow" w:eastAsia="Times New Roman" w:hAnsi="Arial Narrow" w:cs="Times New Roman"/>
          <w:sz w:val="26"/>
          <w:szCs w:val="26"/>
          <w:lang w:val="sr-Latn-ME"/>
        </w:rPr>
        <w:t>S druge strane, podnositeljka je isticala da je drugotuženi nije napao na samoj sjednici Savjeta, već u e -mailu 6. novembra 2017. godine. Naime, nakon održane sjednice Savjeta Centralne banke 30. oktobra 2017. godine, podnositeljka je e -mailom 3. novembra 2017. godine obavijestila drugotuženog da je povlačenje odluke o ukidanju računovodstvenog konta 3025 zatražila odmah po saznanju da bi ista imala nedopustiv uticaj na jednu domaću banku. U odgovoru 6. novembra 2017. godine, drugotuženi je ukazao da je prije upućivanja bilo kog materijala Savjetu bilo neophodno izvršiti procjenu uticaja na bankarski sistem i svaku banku pojedinačno, ocijenivši da je takav pristup elementarno profesionalan i da je u konkretnom slučaju izostao. U istom e-mailu drugotuženi je naveo da je očekivao da se pripremi simulacija uticaja ukidanja navedenog konta, te da je podnositeljka, nakon godinu dana rada u toj oblasti, to morala znati, zaključujući da u radu nema prostora za „amaterizam i spletkarenje“. U svom iskazu drugotuženi je pojasnio da se radi o njegovoj procjeni profesionalnosti podnositeljke, dok je ocjenu o zlonamjernosti i spletkarenju povezao sa činjenicom da je podnositeljka na sjednici Savjeta citirala e-mail za koji je navela da potiče od Milene Knežević, jednog od šefova u superviziji, gdje se navodi da ni jedna od banaka u Crnoj Gori nije pokazala zabrinutost za sprovođenje predloženih odluka u sklopu implementacije Međunarodnih finansijskih standarda 9, iako je zapravo istina bila da je u tom mejlu Milena Knežević samo označana pod CC, dok je mejl zapravo poslala Tanja Drašković, službenica u Sektoru za kontrolu bankarskog sistema. Drugotuženi je dodatno neprofesionalnim ocijenio i praksu podnositeljke da e-mailove upućuje nakon radnog vremena. Iz međusobne e-mail komunikacije sudovi su utvrdili i to da je podnositeljka, povodom predloga Pravilnika o sistematizaciji radnih mjesta, članovima Kolegijuma i Savjeta uputila više primjedbi, na koje je drugotuženi odgovorio stavom da preispitivanje njegovih odluka iz domena rukovođenja smatra neprofesionalnim i zlonamjernim, jer za iste odgovara isključivo on, u skladu sa Ustavom, Zakonom o Centralnoj banci i Statutom Centralne banke Crne Gore.</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30.2.</w:t>
      </w:r>
      <w:r w:rsidRPr="00D833AB">
        <w:rPr>
          <w:rFonts w:ascii="Arial Narrow" w:eastAsia="Times New Roman" w:hAnsi="Arial Narrow" w:cs="Times New Roman"/>
          <w:sz w:val="26"/>
          <w:szCs w:val="26"/>
          <w:lang w:val="sr-Latn-ME"/>
        </w:rPr>
        <w:t xml:space="preserve"> Sudovi su zaključili da ovi postupci drugotuženog ne predstavljaju diskriminatorsko postupanje, jer prilikom iznošenja spornih kvalifikacija nije bio vođen bilo kojom ličnom osobinom podnositeljke, niti je postupao sa namjerom da je uvrijedi ili ponizi, već su iste bile posljedica profesionalnog neslaganja nastalog zbog uočenih propusta u radu sektora kojim je podnositeljka rukovodila. Kvalifikacije sadržane u e-mail komunikaciji, kojima </w:t>
      </w:r>
      <w:r w:rsidRPr="00D833AB">
        <w:rPr>
          <w:rFonts w:ascii="Arial Narrow" w:eastAsia="Times New Roman" w:hAnsi="Arial Narrow" w:cs="Times New Roman"/>
          <w:sz w:val="26"/>
          <w:szCs w:val="26"/>
          <w:lang w:val="sr-Latn-ME"/>
        </w:rPr>
        <w:lastRenderedPageBreak/>
        <w:t>su podnositeljkini postupci ocijenjeni kao „amaterizam i spletkarenje“, odnosno „neprofesionalnim i zlonamjernim“, sudovi su cijenili kao izražavanje profesionalne ocjene pretpostavljenog u okviru razmjene mišljenja, a ne kao uvrede. Drugotuženi je, kao guverner, odgovoran za zakonitost rada Centralne banke u cjelini, pa i za sektor kojim je rukovodila podnositeljka, te je imao ovlašćenje da cijeni njen rad, profesionalnost i postupanje u konkretnim situacijama. Sudovi su stanovišta da izrečene kvalifikacije ne predstavljaju ponižavanje niti zlostavljanje podnositeljke, niti su date sa namjerom povrede njenog ugleda, dostojanstva ili profesionalnog integriteta. Naprotiv, radi se o kritikama zasnovanim na konkretnim događajima i objektivno utvrđenim propustima, koji su potvrđeni i zapisnikom sa 16. sjednice Savjeta Centralne banke Crne Gore.</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sz w:val="26"/>
          <w:szCs w:val="26"/>
          <w:lang w:val="sr-Latn-ME"/>
        </w:rPr>
        <w:tab/>
      </w:r>
      <w:r w:rsidRPr="00D833AB">
        <w:rPr>
          <w:rFonts w:ascii="Arial Narrow" w:eastAsia="Times New Roman" w:hAnsi="Arial Narrow" w:cs="Times New Roman"/>
          <w:b/>
          <w:sz w:val="26"/>
          <w:szCs w:val="26"/>
          <w:lang w:val="sr-Latn-ME"/>
        </w:rPr>
        <w:t>31.</w:t>
      </w:r>
      <w:r w:rsidRPr="00D833AB">
        <w:rPr>
          <w:rFonts w:ascii="Arial Narrow" w:eastAsia="Times New Roman" w:hAnsi="Arial Narrow" w:cs="Times New Roman"/>
          <w:sz w:val="26"/>
          <w:szCs w:val="26"/>
          <w:lang w:val="sr-Latn-ME"/>
        </w:rPr>
        <w:t xml:space="preserve"> Odbijanje drugotuženog da potpiše preporuku za stručno usavršavanje podnositeljke u B</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ne može se smatrati zlostavljanjem, jer ne postoji obaveza pretpostavljenog da potpiše preporuku, naročito onu koju nije sačinio, čime bi se obesmislila njena svrha. Pored toga, podnositeljka zbog toga nije pretrpjela štetu, budući da je drugotuženi ovlastio viceguvernera </w:t>
      </w:r>
      <w:r>
        <w:rPr>
          <w:rFonts w:ascii="Arial Narrow" w:eastAsia="Times New Roman" w:hAnsi="Arial Narrow" w:cs="Times New Roman"/>
          <w:sz w:val="26"/>
          <w:szCs w:val="26"/>
          <w:lang w:val="sr-Latn-ME"/>
        </w:rPr>
        <w:t>N.F.</w:t>
      </w:r>
      <w:r w:rsidRPr="00D833AB">
        <w:rPr>
          <w:rFonts w:ascii="Arial Narrow" w:eastAsia="Times New Roman" w:hAnsi="Arial Narrow" w:cs="Times New Roman"/>
          <w:sz w:val="26"/>
          <w:szCs w:val="26"/>
          <w:lang w:val="sr-Latn-ME"/>
        </w:rPr>
        <w:t xml:space="preserve"> da potpiše preporuku, sa čim se podnositeljka saglasila. Nakon toga, podnositeljka je rješenjem Centralne banke Crne Gore od 9. maja 2018. godine upućena na službeni put u B</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radi učešća na seminaru u periodu 3. juna do 21. jula 2018. godine, te je sa prvotuženim zaključila ugovor o stručnom usavršavanju, kojim su joj obezbijeđeni troškovi puta, osiguranja i djelimično dnevnice.</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p>
    <w:p w:rsidR="00D833AB" w:rsidRPr="00D833AB" w:rsidRDefault="00D833AB" w:rsidP="00D833AB">
      <w:pPr>
        <w:spacing w:after="0" w:line="240" w:lineRule="auto"/>
        <w:ind w:firstLine="720"/>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32.</w:t>
      </w:r>
      <w:r w:rsidRPr="00D833AB">
        <w:rPr>
          <w:rFonts w:ascii="Arial Narrow" w:eastAsia="Times New Roman" w:hAnsi="Arial Narrow" w:cs="Times New Roman"/>
          <w:sz w:val="26"/>
          <w:szCs w:val="26"/>
          <w:lang w:val="sr-Latn-ME"/>
        </w:rPr>
        <w:t xml:space="preserve"> Sudovi su neosnovanim cijenili i navode podnositeljke da su je tuženi u spornom periodu ograničavali u donošenju odluka iz njene nadležnosti, odnosno da je drugotuženi zaduživao viceguvernera F</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poslovima iz njene odgovornosti. Podnositeljka je u svom iskazu navela da je, dok je pokrivala funkciju viceguvernera za kontrolu bankarskog sistema, sva dokumentacija vezana za kreditni registar bila upućivana viceguverneru F</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koji je u svojstvu svjedoka pojasnio da se radilo isključivo o dostavljanju odgovora na ta pisma, ali ništa drugo što je vezano za kreditni registar . Imajući u vidu navedeno, sudovi nijesu mogli zaključiti da je viceguverner F</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preuzeo upravljanje kreditnim registrom ili nadležnosti podnositeljke, posebno jer podnositeljka nije ponudila dodatne dokaze, niti je dokazala da je od oktobra 2017. godine bila uskraćena za informacije neophodne za obavljanje funkcije viceguvernera za kontrolu bankarskog sektora ili za rad u odnosu na komercijalne banke u Crnoj Gori.</w:t>
      </w:r>
    </w:p>
    <w:p w:rsidR="00D833AB" w:rsidRPr="00D833AB" w:rsidRDefault="00D833AB" w:rsidP="00D833AB">
      <w:pPr>
        <w:spacing w:after="0" w:line="240" w:lineRule="auto"/>
        <w:ind w:firstLine="720"/>
        <w:jc w:val="both"/>
        <w:rPr>
          <w:rFonts w:ascii="Arial Narrow" w:eastAsia="Times New Roman" w:hAnsi="Arial Narrow" w:cs="Times New Roman"/>
          <w:sz w:val="26"/>
          <w:szCs w:val="26"/>
          <w:lang w:val="sr-Latn-ME"/>
        </w:rPr>
      </w:pPr>
    </w:p>
    <w:p w:rsidR="00D833AB" w:rsidRPr="00D833AB" w:rsidRDefault="00D833AB" w:rsidP="00D833AB">
      <w:pPr>
        <w:spacing w:after="0" w:line="240" w:lineRule="auto"/>
        <w:ind w:firstLine="720"/>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33.</w:t>
      </w:r>
      <w:r w:rsidRPr="00D833AB">
        <w:rPr>
          <w:rFonts w:ascii="Arial Narrow" w:eastAsia="Times New Roman" w:hAnsi="Arial Narrow" w:cs="Times New Roman"/>
          <w:sz w:val="26"/>
          <w:szCs w:val="26"/>
          <w:lang w:val="sr-Latn-ME"/>
        </w:rPr>
        <w:t xml:space="preserve"> Sudovi su cijenili i navode podnositeljke da je nakon 12. marta 2018. godine bila onemogućena da učestvuje na sjednicama Savjeta i kolegijuma Centralne banke, ali su našli da su isti opovrgnuti iskazima svjedoka i pisanim dokazima. Iz sadržine izvještaja Centralne banke od 20. novembra 2018. godine i zapisnika sa kolegijuma i sjednica Savjeta proizilazi da je podnositeljka u spornom periodu prisustvovala većini sastanaka, uključujući kolegijume održane dana 6. novembra 2017. godine, 11. janura 2018. godine, 8. decembra 2017. godine, 22. decembra 2017. godine, 27. decembra 2017. godine, 19. januara 2018. godine, 13. februara 2018. godine, 12. marta 2018. godine, 22. marta 2018. godine i 13. aprila 2018. godine. Takođe su utvrdili da podnositeljka nije bila pozvana samo na jedan kolegijum 23. maja 2018. godine, ali je u tom periodu bila na bolovanju (27. aprila 2018. godine – 24. maja 2018. godine). Takođe, utvrđeno je da podnositeljka u istom periodu nije prisustvovala (iako je bila pozvana) sastancima kolegijuma održanih dana 10. aprila 2018. godine, 6. juna 2018. godine i 2. jula .2018. godine, pri čemu se podnositeljka u periodu od 3. juna 2018. godine do 21. jula 2018. godine nalazila na stručnom usavršavanju u B</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lastRenderedPageBreak/>
        <w:tab/>
        <w:t>34.</w:t>
      </w:r>
      <w:r w:rsidRPr="00D833AB">
        <w:rPr>
          <w:rFonts w:ascii="Arial Narrow" w:eastAsia="Times New Roman" w:hAnsi="Arial Narrow" w:cs="Times New Roman"/>
          <w:sz w:val="26"/>
          <w:szCs w:val="26"/>
          <w:lang w:val="sr-Latn-ME"/>
        </w:rPr>
        <w:t xml:space="preserve"> Prilikom ocjene navoda podnositeljke da nije bila upoznata sa konačnom verzijom nacrta Zakona o Centralnoj banci i izmjena Pravilnika o sistematizaciji radnih mjesta, sudovi su utvrdili da isti akti nijesu bili poznati ni drugim viceguvernerima i izvršnom direktoru, što pokazuje da se ne radi o izolaciji ili diskriminaciji podnositeljke. Donošenje Pravilnika o sistematizaciji u isključivoj je nadležnosti guvernera, tako da podnositeljka nije imala zakonsko pravo da učestvuje u njegovoj izradi. Navodi podnositeljke da nije učestvovala u izradi Zakona o Centralnoj banci nisu relevantni, jer su izmjene i dopune donijete prije perioda obuhvaćenog tužbenim zahtjevom. Što se tiče Statuta Centralne banke, koji je u nadležnosti Savjeta, podnositeljki je bilo omogućeno da učestvuje u proceduri njegovog donošenja. Naime, iz zapisnika sa 18. sjednice sudovi su utvrdili da je podnositeljka glasala protiv usvajanja Statuta i dostavila pisane prijedloge izmjena u roku od 7 dana. Na 19. sjednici Savjeta razmatrani su njeni amandmani: 11 je odbijeno, jedan prihvaćen nakon izmjene, a još jedan jednoglasno prihvaćen, što pokazuje da je podnositeljki omogućeno aktivno učešće u proceduri donošenja Statuta.</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35.</w:t>
      </w:r>
      <w:r w:rsidRPr="00D833AB">
        <w:rPr>
          <w:rFonts w:ascii="Arial Narrow" w:eastAsia="Times New Roman" w:hAnsi="Arial Narrow" w:cs="Times New Roman"/>
          <w:sz w:val="26"/>
          <w:szCs w:val="26"/>
          <w:lang w:val="sr-Latn-ME"/>
        </w:rPr>
        <w:t xml:space="preserve"> Sudovi su, takođe, zaključili da podnositeljka nije dokazala svoje navode da je drugotuženi „selektivno“ nalagao kontrolu banaka, odnosno da se kontrole izvršavaju van predviđenih termina plana, ali čak i da su takvi navodi tačni, sudovi nijesu našli da se radi o zlostavljanju, imajući u vidu funkciju i nadležnosti guvernera, a i podnositeljka je sama priznala da se ovakvim nalozima nije protivila. Što se tiče tvrdnji da je drugotuženi naložio ponovnu kontrolu „Addiko banke“ i pritom vršio pritisak na podnositeljku da pokrene razrješenje njenog izvršnog direktora, sudovi su smatrali da se radi o događaju koji prethodi periodu obuhvaćenom tužbenim zahtjevom i, stoga, nije relevantan za donošenje odluke, te da podnositeljka ni jednim provedenim dokazom nije potvrdila da je vršen pritisak na nju u vezi s razrješenjem direktora. Sudovi su stanovišta da se činjenica da je drugotuženi ukazao podnositeljki na potrebu ponovne kontrole ne može se smatrati zlostavljanjem, već da je takva sugestija bila opravdana, jer je ponovnom kontrolom otkriveno preko 120 krivotvorenih ugovora u banci i višemilionska šteta, što ranijom kontrolom koju je izvršila podnositeljka nije bilo uočeno.</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36.</w:t>
      </w:r>
      <w:r w:rsidRPr="00D833AB">
        <w:rPr>
          <w:rFonts w:ascii="Arial Narrow" w:eastAsia="Times New Roman" w:hAnsi="Arial Narrow" w:cs="Times New Roman"/>
          <w:sz w:val="26"/>
          <w:szCs w:val="26"/>
          <w:lang w:val="sr-Latn-ME"/>
        </w:rPr>
        <w:t xml:space="preserve"> Kada su u pitanju navodi podnositeljke da je bila onemogućavana u izvršavanju zadataka viceguvernera za kontrolu banaka i člana Savjeta Centralne banke, jer joj nijesu dostavljane sve informacije o finansijskim rashodima i javnim nabavkama, te je dokumentacija za sjednice Savjeta bila nepotpuna, sudovi su zaključili da su ovi navodi opovrgnuti iskazima svjedoka F</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i R</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koji su takođe članovi Savjeta i iz čijih iskaza proizilazi da je svim članovima dostavljana ista dokumentacija za rad Savjeta, a svjedok F</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je pojasnio da su informacije o finansijama i javnim nabavkama dostavljane isključivo u okviru dokumentacije Savjeta, pri čemu javne nabavke nijesu bile u nadležnosti podnositeljke.</w:t>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37.</w:t>
      </w:r>
      <w:r w:rsidRPr="00D833AB">
        <w:rPr>
          <w:rFonts w:ascii="Arial Narrow" w:eastAsia="Times New Roman" w:hAnsi="Arial Narrow" w:cs="Times New Roman"/>
          <w:sz w:val="26"/>
          <w:szCs w:val="26"/>
          <w:lang w:val="sr-Latn-ME"/>
        </w:rPr>
        <w:t xml:space="preserve"> Podnositeljka je tvrdila da se više puta obraćala guverneru, na sjednicama Savjeta i Direkciji za finansije, računovodstvo i kontroling, tražeći informacije o finansijskim rashodima Centralne banke, ali da nije dobijala odgovore, te da je u više zahtjeva zatražila podatke o javnim nabavkama, planovima nabavki, ugovorima, evidencijama i dokumentaciji o adaptacijama i nabavkama opreme i usluga.</w:t>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37.1.</w:t>
      </w:r>
      <w:r w:rsidRPr="00D833AB">
        <w:rPr>
          <w:rFonts w:ascii="Arial Narrow" w:eastAsia="Times New Roman" w:hAnsi="Arial Narrow" w:cs="Times New Roman"/>
          <w:sz w:val="26"/>
          <w:szCs w:val="26"/>
          <w:lang w:val="sr-Latn-ME"/>
        </w:rPr>
        <w:t xml:space="preserve"> Obrazlažući zašto prednje navedeno ne predstavlja mobing kao ni diskriminatorno ponašanje, sudovi su pošli od činjenice da je Direkcija za pravne poslove podnositeljku obavijestila da su svi podaci dostupni na portalu javnih nabavki Uprave za javne nabavke, te da su postupci sprovedeni u skladu sa Zakonom o javnim nabavkama, planom </w:t>
      </w:r>
      <w:r w:rsidRPr="00D833AB">
        <w:rPr>
          <w:rFonts w:ascii="Arial Narrow" w:eastAsia="Times New Roman" w:hAnsi="Arial Narrow" w:cs="Times New Roman"/>
          <w:sz w:val="26"/>
          <w:szCs w:val="26"/>
          <w:lang w:val="sr-Latn-ME"/>
        </w:rPr>
        <w:lastRenderedPageBreak/>
        <w:t>javnih nabavki, finansijskim planom i internim aktima Centralne banke. Utvrđeno je da su u Centralnoj banci uspostavljeni kontrolni mehanizmi za sprovođenje postupaka javnih nabavki, koje nadziru nadležna tijela i ovlašćena lica, dok izvršni direktor koordinira poslove iz oblasti javnih nabavki. Sistem javnih nabavki pod stalnim je nadzorom interne revizije, eksternog revizora, Uprave za javne nabavke i Uprave za inspekcijske poslove, a prethodne kontrole vršile su i državna komisija i državna revizorska institucija, koje su potvrdile zakonitost postupaka.</w:t>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37.2.</w:t>
      </w:r>
      <w:r w:rsidRPr="00D833AB">
        <w:rPr>
          <w:rFonts w:ascii="Arial Narrow" w:eastAsia="Times New Roman" w:hAnsi="Arial Narrow" w:cs="Times New Roman"/>
          <w:sz w:val="26"/>
          <w:szCs w:val="26"/>
          <w:lang w:val="sr-Latn-ME"/>
        </w:rPr>
        <w:t xml:space="preserve"> Sudovi su utvrdili da pitanje da li je podnositeljki uskraćeno dostavljanje informacija o finansijskim rashodima i javnim nabavkama ne predstavlja diskriminaciju ili zlostavljanje, jer podnositeljka nije imala zakonsko pravo na tražene podatke mimo propisane procedure. Pri tome, imali su u vidu da su članom 44 stav 1 Zakona o Centralnoj banci jasno definisane nadležnosti Savjeta, pri čemu Savjet odlučuje o finansijskom planu, godišnjim izvještajima i imenovanju nezavisnog revizora, ali ne vrši kontrolu ili odobrava pojedinačne javne nabavke. Savjet ispituje podatke o javnim nabavkama i rashodima samo kada su oni sastavni dio finansijskog plana ili godišnjeg izvještaja. Stoga podnositeljka nije imala pravo tražiti podatke izvan ove procedure, pa njihovo nedostavljanje ne može predstavljati diskriminaciju ili mobing. Svjedok </w:t>
      </w:r>
      <w:r>
        <w:rPr>
          <w:rFonts w:ascii="Arial Narrow" w:eastAsia="Times New Roman" w:hAnsi="Arial Narrow" w:cs="Times New Roman"/>
          <w:sz w:val="26"/>
          <w:szCs w:val="26"/>
          <w:lang w:val="sr-Latn-ME"/>
        </w:rPr>
        <w:t>N.F.</w:t>
      </w:r>
      <w:r w:rsidRPr="00D833AB">
        <w:rPr>
          <w:rFonts w:ascii="Arial Narrow" w:eastAsia="Times New Roman" w:hAnsi="Arial Narrow" w:cs="Times New Roman"/>
          <w:sz w:val="26"/>
          <w:szCs w:val="26"/>
          <w:lang w:val="sr-Latn-ME"/>
        </w:rPr>
        <w:t xml:space="preserve"> potvrdio je da su članovima Savjeta dostavljani svi relevantni podaci potrebni za donošenje odluka, a dopisom 1. juna 2018. godine podnositeljki je objašnjeno kako do traženih informacija može doći.</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38.</w:t>
      </w:r>
      <w:r w:rsidRPr="00D833AB">
        <w:rPr>
          <w:rFonts w:ascii="Arial Narrow" w:eastAsia="Times New Roman" w:hAnsi="Arial Narrow" w:cs="Times New Roman"/>
          <w:sz w:val="26"/>
          <w:szCs w:val="26"/>
          <w:lang w:val="sr-Latn-ME"/>
        </w:rPr>
        <w:t xml:space="preserve"> Sud je cijenio navode podnositeljke da joj je 16. maja 2018. godine i 23. maja 2018. godine bio isključen službeni broj mobilnog telefona, kao i da je njen broj izmješten iz tarifnog paketa koji su koristili guverneri i viceguverneri u drugi tarifni paket. Međutim, iz sprovedenih dokaza sudovi su utvrdili da je guverner Centralne banke 17. januara 2018. godine, radi usklađivanja sa zakonom i statutom, donio Pravilnik o korišćenju mobilnih telefona za službene potrebe, kojim nijesu mijenjani limiti za članove Savjeta, te da je nakon sprovedenog postupka javne nabavke, Centralna banka zaključila ugovor o pružanju usluga mobilne telefonije sa privrednim društvom „T</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DOO, uz objavljivanje cjelokupne tenderske dokumentacije i ugovora u skladu sa zakonom.</w:t>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38.1.</w:t>
      </w:r>
      <w:r w:rsidRPr="00D833AB">
        <w:rPr>
          <w:rFonts w:ascii="Arial Narrow" w:eastAsia="Times New Roman" w:hAnsi="Arial Narrow" w:cs="Times New Roman"/>
          <w:sz w:val="26"/>
          <w:szCs w:val="26"/>
          <w:lang w:val="sr-Latn-ME"/>
        </w:rPr>
        <w:t xml:space="preserve"> Iz dokaza proizilazi da je promjena sistema pružanja mobilnih usluga, kroz uvođenje paketa, dovela do nejasnoća i problema u praksi, zbog čega je većem broju zaposlenih, uključujući i podnositeljku, ispostavljen račun za dio usluga na teret zaposlenog. Ovakva situacija izazvala je nezadovoljstvo zaposlenih i reakciju sindikata, nakon čega je organizovan sastanak sa predstavnicima operatera, na kojem je ukazano na uočene probleme i dogovoreno njihovo hitno rješavanje za članove Savjeta, kao i pronalaženje prihvatljivog rješenja za ostale zaposlene.</w:t>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38.2.</w:t>
      </w:r>
      <w:r w:rsidRPr="00D833AB">
        <w:rPr>
          <w:rFonts w:ascii="Arial Narrow" w:eastAsia="Times New Roman" w:hAnsi="Arial Narrow" w:cs="Times New Roman"/>
          <w:sz w:val="26"/>
          <w:szCs w:val="26"/>
          <w:lang w:val="sr-Latn-ME"/>
        </w:rPr>
        <w:t xml:space="preserve"> Imajući u vidu da podnositeljka nije bila jedina zaposlena koja je imala navedene poteškoće, da su problemi nastali kao posljedica promjene sistema pružanja usluga mobilne telefonije, te da je prvotuženi preduzeo aktivnosti u cilju njihovog otklanjanja, kao i da limiti za članove Savjeta nijesu mijenjani, sud je zaključio da navedene okolnosti ne ukazuju na zlonamjerno postupanje tuženih, niti se mogu kvalifikovati kao zlostavljanje ili diskriminacija prema podnositeljki.</w:t>
      </w:r>
      <w:r w:rsidRPr="00D833AB">
        <w:rPr>
          <w:rFonts w:ascii="Times New Roman" w:eastAsia="Times New Roman" w:hAnsi="Times New Roman" w:cs="Times New Roman"/>
          <w:sz w:val="24"/>
          <w:szCs w:val="24"/>
          <w:lang w:val="sr-Latn-ME"/>
        </w:rPr>
        <w:tab/>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39</w:t>
      </w:r>
      <w:r w:rsidRPr="00D833AB">
        <w:rPr>
          <w:rFonts w:ascii="Arial Narrow" w:eastAsia="Times New Roman" w:hAnsi="Arial Narrow" w:cs="Times New Roman"/>
          <w:sz w:val="26"/>
          <w:szCs w:val="26"/>
          <w:lang w:val="sr-Latn-ME"/>
        </w:rPr>
        <w:t xml:space="preserve">. Kada su u pitanju navodi podnositeljke da su tuženi vršili mobing i diskriminatorsko ponašanje podnošenjem neosnovane krivične prijave protiv nje radi njenog razrješenja, sudovi </w:t>
      </w:r>
      <w:r w:rsidRPr="00D833AB">
        <w:rPr>
          <w:rFonts w:ascii="Arial Narrow" w:eastAsia="Times New Roman" w:hAnsi="Arial Narrow" w:cs="Times New Roman"/>
          <w:sz w:val="26"/>
          <w:szCs w:val="26"/>
          <w:lang w:val="sr-Latn-ME"/>
        </w:rPr>
        <w:lastRenderedPageBreak/>
        <w:t>su utvrdili da je prvotuženi dana 24. maja 2018. godine podnio krivičnu prijavu protiv podnositeljke, optužujući je da je u predmetnom postupku uz tužbu podnijela i Plan rada Sektora za kontrolu pružanja finansijskih usluga za period 2018-2019. godine, koji sadrži terminski plan kontrole banaka, a koji, shodno Pravilniku o tajnosti Centralne banke predstavlja tajni dokument, čime je Centralnoj banci nanijela štetu. Međutim, rješenjem Osnovnog državnog tužilaštva u Podgorici Kt.br. 913/18 od 27. decembra 2018. godine navedena krivična prijava je odbačena, jer iako je dokument bio označen stepenom tajnosti “I”, odavanje ovog dokumenta ne predstavlja prijavljeno krivično djelo jer Centralna banka Crne Gore nije određena kao privredno društvo, niti kao drugi subjekt privrednog poslovanja i kao takva se ne upisuje u CRPS, tako da podaci koji su u njenom posjedu označeni kao tajni, pa time i terminski plan, ne mogu predstavljati poslovnu tajnu čije bi odavanje prouzrokovalo ili bi moglo prouzrokovati štetne posljedice za privredno društvo ili drugi subjekt privrednog poslovanje, što predstavlja neophodan element bića krivičnog djela.</w:t>
      </w:r>
    </w:p>
    <w:p w:rsidR="00D833AB" w:rsidRPr="00D833AB" w:rsidRDefault="00D833AB" w:rsidP="00D833AB">
      <w:pPr>
        <w:spacing w:before="100" w:beforeAutospacing="1" w:after="100" w:afterAutospacing="1" w:line="240" w:lineRule="auto"/>
        <w:jc w:val="both"/>
        <w:rPr>
          <w:rFonts w:ascii="Arial Narrow" w:hAnsi="Arial Narrow"/>
          <w:sz w:val="26"/>
          <w:szCs w:val="26"/>
          <w:lang w:val="sr-Latn-ME"/>
        </w:rPr>
      </w:pPr>
      <w:r w:rsidRPr="00D833AB">
        <w:rPr>
          <w:rFonts w:ascii="Arial Narrow" w:eastAsia="Times New Roman" w:hAnsi="Arial Narrow" w:cs="Times New Roman"/>
          <w:sz w:val="26"/>
          <w:szCs w:val="26"/>
          <w:lang w:val="sr-Latn-ME"/>
        </w:rPr>
        <w:tab/>
      </w:r>
      <w:r w:rsidRPr="00D833AB">
        <w:rPr>
          <w:rFonts w:ascii="Arial Narrow" w:eastAsia="Times New Roman" w:hAnsi="Arial Narrow" w:cs="Times New Roman"/>
          <w:b/>
          <w:sz w:val="26"/>
          <w:szCs w:val="26"/>
          <w:lang w:val="sr-Latn-ME"/>
        </w:rPr>
        <w:t>39.1.</w:t>
      </w:r>
      <w:r w:rsidRPr="00D833AB">
        <w:rPr>
          <w:rFonts w:ascii="Arial Narrow" w:eastAsia="Times New Roman" w:hAnsi="Arial Narrow" w:cs="Times New Roman"/>
          <w:sz w:val="26"/>
          <w:szCs w:val="26"/>
          <w:lang w:val="sr-Latn-ME"/>
        </w:rPr>
        <w:t xml:space="preserve"> Sudovi smatraju da </w:t>
      </w:r>
      <w:r w:rsidRPr="00D833AB">
        <w:rPr>
          <w:rFonts w:ascii="Arial Narrow" w:hAnsi="Arial Narrow"/>
          <w:sz w:val="26"/>
          <w:szCs w:val="26"/>
          <w:lang w:val="sr-Latn-ME"/>
        </w:rPr>
        <w:t>činjenica da je krivična prijava protiv podnositeljke odbačena ne znači da su krivični postupak i postupak predlaganja njenog razrješenja nezakonito pokrenuti. Imajući u vidu da je terminski plan kontrole banaka, koji prema Pravilniku o tajnosti Centralne banke označen stepenom tajnosti „I, sud nalazi da prvotuženi nije postupao zlonamjerno prilikom podnošenja krivične prijave i iniciranja predloga za razrješenje. Navedene inicijative preduzete su radi utvrđivanja odgovornosti tužilje podnositeljke, pri čemu pretpostavka njene nevinosti nije dovedena u pitanje, jer u predlogu Savjeta nije navedeno da je podnositeljka izvršila krivično djelo, već da je podnijeta krivična prijava zbog osnova sumnje.</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sz w:val="26"/>
          <w:szCs w:val="26"/>
          <w:lang w:val="sr-Latn-ME"/>
        </w:rPr>
        <w:tab/>
      </w:r>
      <w:r w:rsidRPr="00D833AB">
        <w:rPr>
          <w:rFonts w:ascii="Arial Narrow" w:eastAsia="Times New Roman" w:hAnsi="Arial Narrow" w:cs="Times New Roman"/>
          <w:b/>
          <w:sz w:val="26"/>
          <w:szCs w:val="26"/>
          <w:lang w:val="sr-Latn-ME"/>
        </w:rPr>
        <w:t xml:space="preserve">40. </w:t>
      </w:r>
      <w:r w:rsidRPr="00D833AB">
        <w:rPr>
          <w:rFonts w:ascii="Arial Narrow" w:eastAsia="Times New Roman" w:hAnsi="Arial Narrow" w:cs="Times New Roman"/>
          <w:sz w:val="26"/>
          <w:szCs w:val="26"/>
          <w:lang w:val="sr-Latn-ME"/>
        </w:rPr>
        <w:t>Takođe, imajući u vidu da je inicijativa za razrješenje podnositeljke sa funkcije viceguvernera pokrenuta 25. i 26. juna 2018. godine, da je Savjet Centralne banke na sjednici održanoj 2. jula 2018. godine usvojio predlog za njeno razrješenje, te da je posrednik M</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Š</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16. aprila 2018. godine donijela rješenje kojim je utvrđeno da postupak posredovanja povodom zahtjeva podnositeljke za zaštitu od mobinga nije uspio, sudovi su zaključili da su neosnovani navodi podnositeljke da su tuženi inicirali njeno razrješenje, odnosno prekid radnog odnosa, tokom postupka za zaštitu od diskriminacije i mobinga.</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p>
    <w:p w:rsidR="00D833AB" w:rsidRPr="00D833AB" w:rsidRDefault="00D833AB" w:rsidP="00D833AB">
      <w:pPr>
        <w:shd w:val="clear" w:color="auto" w:fill="FFFFFF"/>
        <w:spacing w:after="240" w:line="240" w:lineRule="auto"/>
        <w:jc w:val="both"/>
        <w:textAlignment w:val="top"/>
        <w:rPr>
          <w:rFonts w:ascii="Arial Narrow" w:eastAsia="Times New Roman" w:hAnsi="Arial Narrow" w:cs="Times New Roman"/>
          <w:sz w:val="26"/>
          <w:szCs w:val="26"/>
          <w:lang w:val="sr-Latn-ME"/>
        </w:rPr>
      </w:pPr>
      <w:r w:rsidRPr="00D833AB">
        <w:rPr>
          <w:rFonts w:ascii="Arial Narrow" w:eastAsia="Times New Roman" w:hAnsi="Arial Narrow" w:cs="Times New Roman"/>
          <w:sz w:val="26"/>
          <w:szCs w:val="26"/>
          <w:lang w:val="sr-Latn-ME"/>
        </w:rPr>
        <w:tab/>
      </w:r>
      <w:r w:rsidRPr="00D833AB">
        <w:rPr>
          <w:rFonts w:ascii="Arial Narrow" w:eastAsia="Times New Roman" w:hAnsi="Arial Narrow" w:cs="Times New Roman"/>
          <w:b/>
          <w:sz w:val="26"/>
          <w:szCs w:val="26"/>
          <w:lang w:val="sr-Latn-ME"/>
        </w:rPr>
        <w:t>41.</w:t>
      </w:r>
      <w:r w:rsidRPr="00D833AB">
        <w:rPr>
          <w:rFonts w:ascii="Arial Narrow" w:eastAsia="Times New Roman" w:hAnsi="Arial Narrow" w:cs="Times New Roman"/>
          <w:sz w:val="26"/>
          <w:szCs w:val="26"/>
          <w:lang w:val="sr-Latn-ME"/>
        </w:rPr>
        <w:t xml:space="preserve"> Kada su u pitanju navodi podnositeljke da se mobing nad njom ogleda i u tolerisanju nasilničkog ponašanja prema njoj i nesankcionisanju istog, iskazano od strane A</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Š</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direktorice Direkcije za ljudske resurse, koja joj je u jednoj prilici ušla u agresivno u njenu kancelariju i obratila joj se uvredljivim riječima "gade, ološu, budalo...", sudovi su uvidom u disciplinske spise utvrdili da je</w:t>
      </w:r>
      <w:r w:rsidRPr="00D833AB">
        <w:rPr>
          <w:lang w:val="sr-Latn-ME"/>
        </w:rPr>
        <w:t xml:space="preserve">, </w:t>
      </w:r>
      <w:r w:rsidRPr="00D833AB">
        <w:rPr>
          <w:rFonts w:ascii="Arial Narrow" w:hAnsi="Arial Narrow"/>
          <w:sz w:val="26"/>
          <w:szCs w:val="26"/>
          <w:lang w:val="sr-Latn-ME"/>
        </w:rPr>
        <w:t xml:space="preserve">postupajući po prijavi podnositeljke, drugotuženi odlukom od 4. juna 2018. godine pokrenuo disciplinski postupak protiv </w:t>
      </w:r>
      <w:r w:rsidRPr="00D833AB">
        <w:rPr>
          <w:rFonts w:ascii="Arial Narrow" w:eastAsia="Times New Roman" w:hAnsi="Arial Narrow" w:cs="Times New Roman"/>
          <w:sz w:val="26"/>
          <w:szCs w:val="26"/>
          <w:lang w:val="sr-Latn-ME"/>
        </w:rPr>
        <w:t>A</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Š</w:t>
      </w:r>
      <w:r w:rsidR="000E747D">
        <w:rPr>
          <w:rFonts w:ascii="Arial Narrow" w:eastAsia="Times New Roman" w:hAnsi="Arial Narrow" w:cs="Times New Roman"/>
          <w:sz w:val="26"/>
          <w:szCs w:val="26"/>
          <w:lang w:val="sr-Latn-ME"/>
        </w:rPr>
        <w:t>.</w:t>
      </w:r>
      <w:r w:rsidRPr="00D833AB">
        <w:rPr>
          <w:rFonts w:ascii="Arial Narrow" w:hAnsi="Arial Narrow"/>
          <w:sz w:val="26"/>
          <w:szCs w:val="26"/>
          <w:lang w:val="sr-Latn-ME"/>
        </w:rPr>
        <w:t xml:space="preserve">, direktorice Direkcije za ljudske resurse, te da je nakon sprovedenog postupka, disciplinska komisija Centralne banke odlukom od 31. maja 2018. godine oslobodila </w:t>
      </w:r>
      <w:r w:rsidRPr="00D833AB">
        <w:rPr>
          <w:rFonts w:ascii="Arial Narrow" w:eastAsia="Times New Roman" w:hAnsi="Arial Narrow" w:cs="Times New Roman"/>
          <w:sz w:val="26"/>
          <w:szCs w:val="26"/>
          <w:lang w:val="sr-Latn-ME"/>
        </w:rPr>
        <w:t>A</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Š</w:t>
      </w:r>
      <w:r w:rsidR="000E747D">
        <w:rPr>
          <w:rFonts w:ascii="Arial Narrow" w:eastAsia="Times New Roman" w:hAnsi="Arial Narrow" w:cs="Times New Roman"/>
          <w:sz w:val="26"/>
          <w:szCs w:val="26"/>
          <w:lang w:val="sr-Latn-ME"/>
        </w:rPr>
        <w:t>.</w:t>
      </w:r>
      <w:r w:rsidRPr="00D833AB">
        <w:rPr>
          <w:rFonts w:ascii="Arial Narrow" w:hAnsi="Arial Narrow"/>
          <w:sz w:val="26"/>
          <w:szCs w:val="26"/>
          <w:lang w:val="sr-Latn-ME"/>
        </w:rPr>
        <w:t>od disciplinske odgovornosti za navodno nasilničko i uvredljivo ponašanje prema podnositeljki, koje je podnositeljka opisala kao težu povredu radne obaveze iz Kolektivnog ugovora Centralne banke.</w:t>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41.1.</w:t>
      </w:r>
      <w:r w:rsidRPr="00D833AB">
        <w:rPr>
          <w:rFonts w:ascii="Arial Narrow" w:eastAsia="Times New Roman" w:hAnsi="Arial Narrow" w:cs="Times New Roman"/>
          <w:sz w:val="26"/>
          <w:szCs w:val="26"/>
          <w:lang w:val="sr-Latn-ME"/>
        </w:rPr>
        <w:t xml:space="preserve"> Sudovi su ocijenili da činjenica da je drugotuženi pokrenuo disciplinski postupak, kao i da je disciplinska komisija sprovela postupak i donijela odluku na osnovu slobodnog uvjerenja, isključuje postojanje zlonamjernog ili tendencioznog postupanja. Iz iskaza podnositeljke, drugotuženog i svjedoka A</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T</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koji je bio i član disciplinske komisije, ne proizilazi postojanje objektivnih okolnosti koje bi ukazivale na nezakonito vođenje postupka. Takođe, sud je ukazao da podnositeljku u ovom postupku ne može ispitivati zakonitost odluke </w:t>
      </w:r>
      <w:r w:rsidRPr="00D833AB">
        <w:rPr>
          <w:rFonts w:ascii="Arial Narrow" w:eastAsia="Times New Roman" w:hAnsi="Arial Narrow" w:cs="Times New Roman"/>
          <w:sz w:val="26"/>
          <w:szCs w:val="26"/>
          <w:lang w:val="sr-Latn-ME"/>
        </w:rPr>
        <w:lastRenderedPageBreak/>
        <w:t>disciplinske komisije, već je imala mogućnost da podnošenjem tužbe stvarno nadležnom sudu ispita da li je disciplinska komisija zakonito sprovela postupak, pravilno utvrdila činjenično stanje i da li donijetom odlukom komisije povrijeđeno podnositeljkino pravo ili njen pravni interes.</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42.</w:t>
      </w:r>
      <w:r w:rsidRPr="00D833AB">
        <w:rPr>
          <w:rFonts w:ascii="Arial Narrow" w:eastAsia="Times New Roman" w:hAnsi="Arial Narrow" w:cs="Times New Roman"/>
          <w:sz w:val="26"/>
          <w:szCs w:val="26"/>
          <w:lang w:val="sr-Latn-ME"/>
        </w:rPr>
        <w:t xml:space="preserve">  Sud je razmotrio tvrdnje podnositeljke da je u spornom periodu bila izolovana i isključena sa sastanaka u zemlji i inostranstvu, uključujući posjetu rukovodstvu Centralne banke Njemačke i Godišnji Kvorum Bečke Inicijative u Evropskoj banci za obnovu i razvoj. Iz iskaza drugotuženog i svjedoka N</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F</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M</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R</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R</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L</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i D</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B</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sudovi su utvrdili da su sastanci sa direktorima komercijalnih banaka organizovani tako da prisustvuju svi relevantni službenici, uključujući i podnositeljku kada je tema bila supervizija banaka, a u njenom odsustvu sastancima je prisustvovao njen saradnik D</w:t>
      </w:r>
      <w:r w:rsidR="000E747D">
        <w:rPr>
          <w:rFonts w:ascii="Arial Narrow" w:eastAsia="Times New Roman" w:hAnsi="Arial Narrow" w:cs="Times New Roman"/>
          <w:sz w:val="26"/>
          <w:szCs w:val="26"/>
          <w:lang w:val="sr-Latn-ME"/>
        </w:rPr>
        <w:t>.</w:t>
      </w:r>
      <w:r w:rsidRPr="00D833AB">
        <w:rPr>
          <w:rFonts w:ascii="Arial Narrow" w:eastAsia="Times New Roman" w:hAnsi="Arial Narrow" w:cs="Times New Roman"/>
          <w:sz w:val="26"/>
          <w:szCs w:val="26"/>
          <w:lang w:val="sr-Latn-ME"/>
        </w:rPr>
        <w:t xml:space="preserve"> B</w:t>
      </w:r>
      <w:r w:rsidR="000E747D">
        <w:rPr>
          <w:rFonts w:ascii="Arial Narrow" w:eastAsia="Times New Roman" w:hAnsi="Arial Narrow" w:cs="Times New Roman"/>
          <w:sz w:val="26"/>
          <w:szCs w:val="26"/>
          <w:lang w:val="sr-Latn-ME"/>
        </w:rPr>
        <w:t>.</w:t>
      </w:r>
      <w:bookmarkStart w:id="29" w:name="_GoBack"/>
      <w:bookmarkEnd w:id="29"/>
      <w:r w:rsidRPr="00D833AB">
        <w:rPr>
          <w:rFonts w:ascii="Arial Narrow" w:eastAsia="Times New Roman" w:hAnsi="Arial Narrow" w:cs="Times New Roman"/>
          <w:sz w:val="26"/>
          <w:szCs w:val="26"/>
          <w:lang w:val="sr-Latn-ME"/>
        </w:rPr>
        <w:t>, direktor supervizije. Što se tiče sastanka sa visokim predstavnicima Bundes banke i Godišnjeg Kvoruma, utvrđeno je da teme tih događaja nisu bile u nadležnosti podnositeljke. Sastanak sa predstavnicima Bundes banke odnosio se na korišćenje eura i međunarodne rezerve, a Bečka inicijativa na superviziju loših kredita, što je bilo izvan zaduženja podnositeljke jer je njen sektor imao zanemarljiv broj takvih kredita, pa je prisustvovala službenica direktno nadležna za tu oblast.</w:t>
      </w: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p>
    <w:p w:rsidR="00D833AB" w:rsidRPr="00D833AB" w:rsidRDefault="00D833AB" w:rsidP="00D833AB">
      <w:pPr>
        <w:spacing w:after="0"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42.1.</w:t>
      </w:r>
      <w:r w:rsidRPr="00D833AB">
        <w:rPr>
          <w:rFonts w:ascii="Arial Narrow" w:eastAsia="Times New Roman" w:hAnsi="Arial Narrow" w:cs="Times New Roman"/>
          <w:sz w:val="26"/>
          <w:szCs w:val="26"/>
          <w:lang w:val="sr-Latn-ME"/>
        </w:rPr>
        <w:t xml:space="preserve">  Sudovi su imali u vidu da je Zakonom i Statutom Centralne banke Crne Gore (čl. 45 st. 1 tač. 1 Zakona i čl. 6 i 7 Statuta) propisano da guverner zastupa Centralnu banku u zemlji i inostranstvu, ali da može ovlastiti viceguvernera da preduzme pojedine pravne radnje ili predstavlja banku. Iz toga proizilazi da je guverner, u spornom periodu, mogao samostalno voditi sastanke sa predstavnicima poslovnih i stranih banaka. Stoga činjenica da podnositeljka nije prisustvovala sastancima guvernera sa Addiko banke AG Beč, delegacijom Societe generale group, rukovodstvom Nove banke, kompanije Azmont investments, OTP Group i izvršnim direktorima poslovnih banaka u Crnoj Gori, ne može predstavljati mobing. Zakonska obaveza prisustva viceguvernera na takvim sastancima ne postoji, a ni iz dokaza nije utvrđeno da su teme tih sastanaka bile u podnositeljkinoj nadležnosti ili da se radilo o sastancima operativne prirode.</w:t>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sz w:val="26"/>
          <w:szCs w:val="26"/>
          <w:lang w:val="sr-Latn-ME"/>
        </w:rPr>
        <w:tab/>
      </w:r>
      <w:r w:rsidRPr="00D833AB">
        <w:rPr>
          <w:rFonts w:ascii="Arial Narrow" w:eastAsia="Times New Roman" w:hAnsi="Arial Narrow" w:cs="Times New Roman"/>
          <w:b/>
          <w:sz w:val="26"/>
          <w:szCs w:val="26"/>
          <w:lang w:val="sr-Latn-ME"/>
        </w:rPr>
        <w:t>42.2.</w:t>
      </w:r>
      <w:r w:rsidRPr="00D833AB">
        <w:rPr>
          <w:rFonts w:ascii="Arial Narrow" w:eastAsia="Times New Roman" w:hAnsi="Arial Narrow" w:cs="Times New Roman"/>
          <w:sz w:val="26"/>
          <w:szCs w:val="26"/>
          <w:lang w:val="sr-Latn-ME"/>
        </w:rPr>
        <w:t xml:space="preserve"> Što se tiče navoda podnositeljke da joj je drugotuženi onemogućio prisustvo  Godišnjem Kvoruma Bečke Inicijative u Evropskoj banci za obnovu i razvoj u Londonu 12. i 13. marta 2018. godine, sudovi su stanovišta da podnositeljka nije dokazala da je drugotuženi onemogućio njeno prisustvo, budući da iz dostavljenog pozivnog e-maila nije moguće utvrditi ko je primalac.</w:t>
      </w:r>
    </w:p>
    <w:p w:rsidR="00D833AB" w:rsidRPr="00D833AB" w:rsidRDefault="00D833AB" w:rsidP="00D833AB">
      <w:pPr>
        <w:shd w:val="clear" w:color="auto" w:fill="FFFFFF"/>
        <w:spacing w:after="240" w:line="240" w:lineRule="auto"/>
        <w:jc w:val="both"/>
        <w:textAlignment w:val="top"/>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43.</w:t>
      </w:r>
      <w:r w:rsidRPr="00D833AB">
        <w:rPr>
          <w:rFonts w:ascii="Arial Narrow" w:eastAsia="Times New Roman" w:hAnsi="Arial Narrow" w:cs="Times New Roman"/>
          <w:sz w:val="26"/>
          <w:szCs w:val="26"/>
          <w:lang w:val="sr-Latn-ME"/>
        </w:rPr>
        <w:t xml:space="preserve"> Kod svega prethodno navedenog, analizirajući tužbeni zahtjev, te sve provedene dokaze, sudovi su zaključili da se ni jedan od postupaka tuženih nije mogao podvesti pod mobing ili diskriminaciju podnositeljke kao žene u odnosu na druga lica sa istim profesionalnim statusom, pa s obzirom da podnositeljka nije učinila vjerovatnim da su diskriminacija i mobing postojali, to su sudovi našli da ona u ovom postupku nije uspjela dokazati postojanje takvog zabranjenog ponašanja u spornom periodu, pa je tužbeni zahtjev u dijelu kojim je ona tražila utvrđenje postojanja diskriminacije i mobinga, odbio kao neosnovan. </w:t>
      </w:r>
    </w:p>
    <w:bookmarkEnd w:id="28"/>
    <w:p w:rsidR="00D833AB" w:rsidRPr="00D833AB" w:rsidRDefault="00D833AB" w:rsidP="00D833AB">
      <w:pPr>
        <w:shd w:val="clear" w:color="auto" w:fill="FFFFFF"/>
        <w:spacing w:after="240" w:line="240" w:lineRule="auto"/>
        <w:ind w:firstLine="720"/>
        <w:jc w:val="both"/>
        <w:textAlignment w:val="top"/>
        <w:rPr>
          <w:rFonts w:ascii="Times New Roman" w:eastAsia="Times New Roman" w:hAnsi="Times New Roman" w:cs="Times New Roman"/>
          <w:i/>
          <w:iCs/>
          <w:sz w:val="24"/>
          <w:szCs w:val="24"/>
        </w:rPr>
      </w:pPr>
      <w:r w:rsidRPr="00D833AB">
        <w:rPr>
          <w:rFonts w:ascii="Arial Narrow" w:eastAsia="Times New Roman" w:hAnsi="Arial Narrow" w:cs="Times New Roman"/>
          <w:b/>
          <w:sz w:val="26"/>
          <w:szCs w:val="26"/>
          <w:lang w:val="sr-Latn-ME"/>
        </w:rPr>
        <w:t>44.</w:t>
      </w:r>
      <w:r w:rsidRPr="00D833AB">
        <w:rPr>
          <w:rFonts w:ascii="Times New Roman" w:eastAsia="Times New Roman" w:hAnsi="Times New Roman" w:cs="Times New Roman"/>
          <w:i/>
          <w:iCs/>
          <w:sz w:val="24"/>
          <w:szCs w:val="24"/>
        </w:rPr>
        <w:t xml:space="preserve"> </w:t>
      </w:r>
      <w:r w:rsidRPr="00D833AB">
        <w:rPr>
          <w:rFonts w:ascii="Arial Narrow" w:eastAsia="Times New Roman" w:hAnsi="Arial Narrow" w:cs="Times New Roman"/>
          <w:iCs/>
          <w:sz w:val="26"/>
          <w:szCs w:val="26"/>
        </w:rPr>
        <w:t>Međutim, iako su sudovi, posebno prvostepeni sud</w:t>
      </w:r>
      <w:r w:rsidRPr="00D833AB">
        <w:rPr>
          <w:rFonts w:ascii="Arial Narrow" w:eastAsia="Times New Roman" w:hAnsi="Arial Narrow" w:cs="Times New Roman"/>
          <w:b/>
          <w:iCs/>
          <w:sz w:val="26"/>
          <w:szCs w:val="26"/>
        </w:rPr>
        <w:t xml:space="preserve">, </w:t>
      </w:r>
      <w:r w:rsidRPr="00D833AB">
        <w:rPr>
          <w:rFonts w:ascii="Arial Narrow" w:hAnsi="Arial Narrow"/>
          <w:bCs/>
          <w:sz w:val="26"/>
          <w:szCs w:val="26"/>
          <w:lang w:val="sr-Latn-ME"/>
        </w:rPr>
        <w:t xml:space="preserve">uložili značajan napor i detaljno i obimno analizirali sve sporne radnje </w:t>
      </w:r>
      <w:r w:rsidRPr="00D833AB">
        <w:rPr>
          <w:rFonts w:ascii="Arial Narrow" w:eastAsia="Times New Roman" w:hAnsi="Arial Narrow" w:cs="Times New Roman"/>
          <w:iCs/>
          <w:sz w:val="26"/>
          <w:szCs w:val="26"/>
        </w:rPr>
        <w:t xml:space="preserve">koje je podnositeljka ustavne žalbe doživljavala kao mobing i diskriminatorno ponašanje, postojanje mobinga i diskriminacije su kvalifikovali kao isključivo pravno pitanje, pri čemu su nalaz i mišljenje neuropsihijatra ocenili bez uticaja na </w:t>
      </w:r>
      <w:r w:rsidRPr="00D833AB">
        <w:rPr>
          <w:rFonts w:ascii="Arial Narrow" w:eastAsia="Times New Roman" w:hAnsi="Arial Narrow" w:cs="Times New Roman"/>
          <w:iCs/>
          <w:sz w:val="26"/>
          <w:szCs w:val="26"/>
        </w:rPr>
        <w:lastRenderedPageBreak/>
        <w:t>drugačije odlučivanje. Ovakav formalistički pristup nije u skladu sa standardima proisteklim iz člana 8 Evropske konvencije, koji nalažu da se u ocjeni povrede prava na poštovanje privatnog i profesionalnog života uzmu u obzir i posledice po psihički integritet pojedinca</w:t>
      </w:r>
      <w:r w:rsidRPr="00D833AB">
        <w:rPr>
          <w:rFonts w:ascii="Times New Roman" w:eastAsia="Times New Roman" w:hAnsi="Times New Roman" w:cs="Times New Roman"/>
          <w:i/>
          <w:iCs/>
          <w:sz w:val="24"/>
          <w:szCs w:val="24"/>
        </w:rPr>
        <w:t>.</w:t>
      </w:r>
    </w:p>
    <w:p w:rsidR="00D833AB" w:rsidRPr="00D833AB" w:rsidRDefault="00D833AB" w:rsidP="00D833AB">
      <w:pPr>
        <w:shd w:val="clear" w:color="auto" w:fill="FFFFFF"/>
        <w:spacing w:after="240" w:line="240" w:lineRule="auto"/>
        <w:jc w:val="both"/>
        <w:textAlignment w:val="top"/>
        <w:rPr>
          <w:rFonts w:ascii="Arial Narrow" w:eastAsia="Times New Roman" w:hAnsi="Arial Narrow" w:cs="Times New Roman"/>
          <w:sz w:val="26"/>
          <w:szCs w:val="26"/>
          <w:lang w:val="sr-Latn-ME"/>
        </w:rPr>
      </w:pPr>
      <w:r w:rsidRPr="00D833AB">
        <w:rPr>
          <w:rFonts w:ascii="Arial Narrow" w:eastAsia="Times New Roman" w:hAnsi="Arial Narrow" w:cs="Times New Roman"/>
          <w:b/>
          <w:iCs/>
          <w:sz w:val="26"/>
          <w:szCs w:val="26"/>
        </w:rPr>
        <w:tab/>
        <w:t>45.</w:t>
      </w:r>
      <w:r w:rsidRPr="00D833AB">
        <w:rPr>
          <w:rFonts w:ascii="Times New Roman" w:eastAsia="Times New Roman" w:hAnsi="Times New Roman" w:cs="Times New Roman"/>
          <w:i/>
          <w:iCs/>
          <w:sz w:val="24"/>
          <w:szCs w:val="24"/>
        </w:rPr>
        <w:t xml:space="preserve"> </w:t>
      </w:r>
      <w:r w:rsidRPr="00D833AB">
        <w:rPr>
          <w:rFonts w:ascii="Arial Narrow" w:eastAsia="Times New Roman" w:hAnsi="Arial Narrow" w:cs="Times New Roman"/>
          <w:sz w:val="26"/>
          <w:szCs w:val="26"/>
          <w:lang w:val="sr-Latn-ME"/>
        </w:rPr>
        <w:t>Sudovi u konkretnom slučaju nijesu jasno povezali nalaz i mišljenje vještaka neuropsihijatra sa svakom pojedinačnom radnjom koju je podnositeljka doživljavala kao zlostavljanje na radu, niti su te radnje sagledali u njihovom međusobnom, kumulativnom i kontinuiranom dejstvu. Nalaz vještaka nije imao za cilj samo da potvrdi postojanje psihičkih posljedica, već da sudovima omogući razumijevanje načina na koji su konkretne radnje na radnom mjestu djelovale na psihički integritet podnositeljke, uzimajući u obzir njene lične karakteristike, profesionalni identitet i subjektivni doživljaj spornih događaja.</w:t>
      </w:r>
    </w:p>
    <w:p w:rsidR="00D833AB" w:rsidRPr="00D833AB" w:rsidRDefault="00D833AB" w:rsidP="00D833AB">
      <w:pPr>
        <w:shd w:val="clear" w:color="auto" w:fill="FFFFFF"/>
        <w:spacing w:after="240" w:line="240" w:lineRule="auto"/>
        <w:jc w:val="both"/>
        <w:textAlignment w:val="top"/>
        <w:rPr>
          <w:rFonts w:ascii="Arial Narrow" w:eastAsia="Times New Roman" w:hAnsi="Arial Narrow" w:cs="Times New Roman"/>
          <w:sz w:val="26"/>
          <w:szCs w:val="26"/>
          <w:lang w:val="sr-Latn-ME"/>
        </w:rPr>
      </w:pPr>
      <w:r w:rsidRPr="00D833AB">
        <w:rPr>
          <w:rFonts w:ascii="Arial Narrow" w:eastAsia="Times New Roman" w:hAnsi="Arial Narrow" w:cs="Times New Roman"/>
          <w:sz w:val="26"/>
          <w:szCs w:val="26"/>
          <w:lang w:val="sr-Latn-ME"/>
        </w:rPr>
        <w:tab/>
      </w:r>
      <w:r w:rsidRPr="00D833AB">
        <w:rPr>
          <w:rFonts w:ascii="Arial Narrow" w:eastAsia="Times New Roman" w:hAnsi="Arial Narrow" w:cs="Times New Roman"/>
          <w:b/>
          <w:sz w:val="26"/>
          <w:szCs w:val="26"/>
          <w:lang w:val="sr-Latn-ME"/>
        </w:rPr>
        <w:t>46.</w:t>
      </w:r>
      <w:r w:rsidRPr="00D833AB">
        <w:rPr>
          <w:rFonts w:ascii="Arial Narrow" w:eastAsia="Times New Roman" w:hAnsi="Arial Narrow" w:cs="Times New Roman"/>
          <w:sz w:val="26"/>
          <w:szCs w:val="26"/>
          <w:lang w:val="sr-Latn-ME"/>
        </w:rPr>
        <w:t xml:space="preserve"> U predmetima koji se odnose na navodno zlostavljanje na radu, sudovi nijesu ovlašćeni da se zadrže isključivo na formalnoj zakonitosti ili pravnoj kvalifikaciji pojedinačnih radnji, odnosno na ocjeni da li te radnje predstavljaju uobičajene odluke poslodavca. Naprotiv, sudovi su dužni da ispitaju stvarni efekat takvog postupanja na konkretnog zaposlenog, naročito u situacijama kada postoji stručni nalaz koji potvrđuje narušavanje psihičkog integriteta kao posljedicu konflikata na radnom mjestu.</w:t>
      </w:r>
    </w:p>
    <w:p w:rsidR="00D833AB" w:rsidRPr="00D833AB" w:rsidRDefault="00D833AB" w:rsidP="00D833AB">
      <w:pPr>
        <w:shd w:val="clear" w:color="auto" w:fill="FFFFFF"/>
        <w:spacing w:after="240" w:line="240" w:lineRule="auto"/>
        <w:jc w:val="both"/>
        <w:textAlignment w:val="top"/>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47.</w:t>
      </w:r>
      <w:r w:rsidRPr="00D833AB">
        <w:rPr>
          <w:rFonts w:ascii="Arial Narrow" w:eastAsia="Times New Roman" w:hAnsi="Arial Narrow" w:cs="Times New Roman"/>
          <w:sz w:val="26"/>
          <w:szCs w:val="26"/>
          <w:lang w:val="sr-Latn-ME"/>
        </w:rPr>
        <w:t xml:space="preserve"> U konkretnom slučaju, vještak neuropsihijatar je izričito utvrdio </w:t>
      </w:r>
      <w:r w:rsidRPr="00D833AB">
        <w:rPr>
          <w:rFonts w:ascii="Arial Narrow" w:hAnsi="Arial Narrow"/>
          <w:sz w:val="26"/>
          <w:szCs w:val="26"/>
          <w:lang w:val="sr-Latn-ME"/>
        </w:rPr>
        <w:t xml:space="preserve">da je podnositeljka ustavne žalbe, </w:t>
      </w:r>
      <w:r w:rsidRPr="00D833AB">
        <w:rPr>
          <w:rFonts w:ascii="Arial Narrow" w:eastAsia="Times New Roman" w:hAnsi="Arial Narrow" w:cs="Times New Roman"/>
          <w:sz w:val="26"/>
          <w:szCs w:val="26"/>
          <w:lang w:val="sr-Latn-ME"/>
        </w:rPr>
        <w:t>usljed konflikata na radnom mjestu koje je subjektivno doživljavala kao zlostavljanje,</w:t>
      </w:r>
      <w:r w:rsidRPr="00D833AB">
        <w:rPr>
          <w:rFonts w:ascii="Arial Narrow" w:hAnsi="Arial Narrow"/>
          <w:sz w:val="26"/>
          <w:szCs w:val="26"/>
          <w:lang w:val="sr-Latn-ME"/>
        </w:rPr>
        <w:t xml:space="preserve"> bila liječena i ispoljavala simptome </w:t>
      </w:r>
      <w:r w:rsidRPr="00D833AB">
        <w:rPr>
          <w:rFonts w:ascii="Arial Narrow" w:hAnsi="Arial Narrow"/>
          <w:bCs/>
          <w:sz w:val="26"/>
          <w:szCs w:val="26"/>
          <w:lang w:val="sr-Latn-ME"/>
        </w:rPr>
        <w:t>posttraumatskog stresnog poremećaja i poremećaja prilagođavanja</w:t>
      </w:r>
      <w:r w:rsidRPr="00D833AB">
        <w:rPr>
          <w:rFonts w:ascii="Arial Narrow" w:hAnsi="Arial Narrow"/>
          <w:sz w:val="26"/>
          <w:szCs w:val="26"/>
          <w:lang w:val="sr-Latn-ME"/>
        </w:rPr>
        <w:t xml:space="preserve">, sa izraženim </w:t>
      </w:r>
      <w:r w:rsidRPr="00D833AB">
        <w:rPr>
          <w:rFonts w:ascii="Arial Narrow" w:hAnsi="Arial Narrow"/>
          <w:bCs/>
          <w:sz w:val="26"/>
          <w:szCs w:val="26"/>
          <w:lang w:val="sr-Latn-ME"/>
        </w:rPr>
        <w:t>anksiozno-depresivnim simptomima</w:t>
      </w:r>
      <w:r w:rsidRPr="00D833AB">
        <w:rPr>
          <w:rFonts w:ascii="Arial Narrow" w:hAnsi="Arial Narrow"/>
          <w:sz w:val="26"/>
          <w:szCs w:val="26"/>
          <w:lang w:val="sr-Latn-ME"/>
        </w:rPr>
        <w:t xml:space="preserve">, </w:t>
      </w:r>
      <w:r w:rsidRPr="00D833AB">
        <w:rPr>
          <w:rFonts w:ascii="Arial Narrow" w:eastAsia="Times New Roman" w:hAnsi="Arial Narrow" w:cs="Times New Roman"/>
          <w:sz w:val="26"/>
          <w:szCs w:val="26"/>
          <w:lang w:val="sr-Latn-ME"/>
        </w:rPr>
        <w:t>te da su navedeni poremećaji u uzročnoj vezi sa radnim okruženjem. Takav nalaz je obavezivao sudove da ispitaju da li su konkretne radnje posmatrane i pojedinačno i u zbiru mogle predstavljati zadiranje u psihički integritet podnositeljke, bez obzira na to da li bi svaka od tih radnji, sagledana izolovano, formalno bila dopuštena.</w:t>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48.</w:t>
      </w:r>
      <w:r w:rsidRPr="00D833AB">
        <w:rPr>
          <w:rFonts w:ascii="Arial Narrow" w:eastAsia="Times New Roman" w:hAnsi="Arial Narrow" w:cs="Times New Roman"/>
          <w:sz w:val="26"/>
          <w:szCs w:val="26"/>
          <w:lang w:val="sr-Latn-ME"/>
        </w:rPr>
        <w:t xml:space="preserve"> Nasuprot tome, sudovi su nalaz vještaka unaprijed lišili pravnog značaja, tretirajući pitanje mobinga kao isključivo pravno pitanje, čime su zanemarili činjenicu da psihički integritet, kao sastavni dio prava na poštovanje privatnog života, ne zavisi od formalne pravne kvalifikacije ponašanja, već od njegovog stvarnog efekta na konkretnu ličnost.</w:t>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sz w:val="26"/>
          <w:szCs w:val="26"/>
          <w:lang w:val="sr-Latn-ME"/>
        </w:rPr>
        <w:tab/>
      </w:r>
      <w:r w:rsidRPr="00D833AB">
        <w:rPr>
          <w:rFonts w:ascii="Arial Narrow" w:eastAsia="Times New Roman" w:hAnsi="Arial Narrow" w:cs="Times New Roman"/>
          <w:b/>
          <w:bCs/>
          <w:sz w:val="26"/>
          <w:szCs w:val="26"/>
          <w:lang w:val="sr-Latn-ME"/>
        </w:rPr>
        <w:t xml:space="preserve">49. </w:t>
      </w:r>
      <w:r w:rsidRPr="00D833AB">
        <w:rPr>
          <w:rFonts w:ascii="Arial Narrow" w:eastAsia="Times New Roman" w:hAnsi="Arial Narrow" w:cs="Times New Roman"/>
          <w:bCs/>
          <w:sz w:val="26"/>
          <w:szCs w:val="26"/>
          <w:lang w:val="sr-Latn-ME"/>
        </w:rPr>
        <w:t>Pri tome,</w:t>
      </w:r>
      <w:r w:rsidRPr="00D833AB">
        <w:rPr>
          <w:rFonts w:ascii="Arial Narrow" w:eastAsia="Times New Roman" w:hAnsi="Arial Narrow" w:cs="Times New Roman"/>
          <w:b/>
          <w:bCs/>
          <w:sz w:val="26"/>
          <w:szCs w:val="26"/>
          <w:lang w:val="sr-Latn-ME"/>
        </w:rPr>
        <w:t xml:space="preserve"> </w:t>
      </w:r>
      <w:r w:rsidRPr="00D833AB">
        <w:rPr>
          <w:rFonts w:ascii="Arial Narrow" w:eastAsia="Times New Roman" w:hAnsi="Arial Narrow" w:cs="Times New Roman"/>
          <w:sz w:val="26"/>
          <w:szCs w:val="26"/>
          <w:lang w:val="sr-Latn-ME"/>
        </w:rPr>
        <w:t>sudovi nijesu uzeli u obzir da se podnositeljka nalazila na visokoj profesionalnoj i javnoj funkciji, te da je njen profesionalni identitet bio snažno vezan za kompetentnost, integritet i povjerenje. Radnje koje podrazumijevaju sistematsko smanjivanje nadležnosti, isključivanje iz procesa odlučivanja i dovođenje u pitanje profesionalne sposobnosti, kod lica na takvoj poziciji mogu imati izraženiji i dublji psihički efekat nego kod zaposlenih na nižim hijerarhijskim nivoima. Upravo zbog toga, sudovi su bili dužni da subjektivni doživljaj podnositeljke cijene u svjetlu nalaza vještaka, a ne da ga unaprijed ocijene kao pravno irelevantan.</w:t>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b/>
          <w:sz w:val="26"/>
          <w:szCs w:val="26"/>
          <w:lang w:val="sr-Latn-ME"/>
        </w:rPr>
        <w:tab/>
        <w:t>50</w:t>
      </w:r>
      <w:r w:rsidRPr="00D833AB">
        <w:rPr>
          <w:rFonts w:ascii="Arial Narrow" w:eastAsia="Times New Roman" w:hAnsi="Arial Narrow" w:cs="Times New Roman"/>
          <w:sz w:val="26"/>
          <w:szCs w:val="26"/>
          <w:lang w:val="sr-Latn-ME"/>
        </w:rPr>
        <w:t xml:space="preserve">. Posebno je izostala suštinska analiza činjenice da su diskreciona ovlašćenja guvernera primjenjivana selektivno, na način što su nadležnosti kontinuirano smanjivane </w:t>
      </w:r>
      <w:r w:rsidRPr="00D833AB">
        <w:rPr>
          <w:rFonts w:ascii="Arial Narrow" w:eastAsia="Times New Roman" w:hAnsi="Arial Narrow" w:cs="Times New Roman"/>
          <w:sz w:val="26"/>
          <w:szCs w:val="26"/>
        </w:rPr>
        <w:t xml:space="preserve">samo podnositeljki, dok prema drugoj dvojici viceguvernera takve mjere nijesu preduzimane. </w:t>
      </w:r>
      <w:r w:rsidRPr="00D833AB">
        <w:rPr>
          <w:rFonts w:ascii="Arial Narrow" w:eastAsia="Times New Roman" w:hAnsi="Arial Narrow" w:cs="Times New Roman"/>
          <w:sz w:val="26"/>
          <w:szCs w:val="26"/>
          <w:lang w:val="sr-Latn-ME"/>
        </w:rPr>
        <w:t xml:space="preserve">Iako guverner formalno ima ovlašćenje da delegira i povlači nadležnosti, sudovi su bili dužni da ispitaju način na koji je to ovlašćenje primijenjeno u konkretnom slučaju, odnosno da li je selektivno i kontinuirano oduzimanje nadležnosti samo jednoj viceguvernerki moglo </w:t>
      </w:r>
      <w:r w:rsidRPr="00D833AB">
        <w:rPr>
          <w:rFonts w:ascii="Arial Narrow" w:eastAsia="Times New Roman" w:hAnsi="Arial Narrow" w:cs="Times New Roman"/>
          <w:sz w:val="26"/>
          <w:szCs w:val="26"/>
          <w:lang w:val="sr-Latn-ME"/>
        </w:rPr>
        <w:lastRenderedPageBreak/>
        <w:t>predstavljati oblik profesionalne marginalizacije, sa negativnim posledicama po njeno dostojanstvo i psihički integritet. Dakle, odlučujuće pitanje nije da li je guverner postupao u okviru svojih formalnih ovlašćenja, već da li je način primjene tih ovlašćenja, posmatran u ukupnom kontekstu i u vezi sa nalazom vještaka, proizveo posljedice koje dostižu prag zaštite iz člana 8 Evropske konvencije.</w:t>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sz w:val="26"/>
          <w:szCs w:val="26"/>
          <w:lang w:val="sr-Latn-ME"/>
        </w:rPr>
        <w:tab/>
      </w:r>
      <w:r w:rsidRPr="00D833AB">
        <w:rPr>
          <w:rFonts w:ascii="Arial Narrow" w:eastAsia="Times New Roman" w:hAnsi="Arial Narrow" w:cs="Times New Roman"/>
          <w:b/>
          <w:bCs/>
          <w:sz w:val="26"/>
          <w:szCs w:val="26"/>
        </w:rPr>
        <w:t>51.</w:t>
      </w:r>
      <w:r w:rsidRPr="00D833AB">
        <w:rPr>
          <w:rFonts w:ascii="Arial Narrow" w:eastAsia="Times New Roman" w:hAnsi="Arial Narrow" w:cs="Times New Roman"/>
          <w:sz w:val="26"/>
          <w:szCs w:val="26"/>
        </w:rPr>
        <w:t xml:space="preserve"> Nadalje, Ustavni sud primjećuje da je, nakon pokretanja postupka za zaštitu od mobinga, </w:t>
      </w:r>
      <w:r w:rsidRPr="00D833AB">
        <w:rPr>
          <w:rFonts w:ascii="Arial Narrow" w:eastAsia="Times New Roman" w:hAnsi="Arial Narrow" w:cs="Times New Roman"/>
          <w:bCs/>
          <w:sz w:val="26"/>
          <w:szCs w:val="26"/>
        </w:rPr>
        <w:t>protiv podnositeljke ustavne žalbe pokrenut i krivični postupak</w:t>
      </w:r>
      <w:r w:rsidRPr="00D833AB">
        <w:rPr>
          <w:rFonts w:ascii="Arial Narrow" w:eastAsia="Times New Roman" w:hAnsi="Arial Narrow" w:cs="Times New Roman"/>
          <w:sz w:val="26"/>
          <w:szCs w:val="26"/>
        </w:rPr>
        <w:t xml:space="preserve">, iniciran podnošenjem krivične prijave od strane tuženih. Iako je navedena krivična prijava odbačena, Sud ne može a da ne primijeti da </w:t>
      </w:r>
      <w:r w:rsidRPr="00D833AB">
        <w:rPr>
          <w:rFonts w:ascii="Arial Narrow" w:eastAsia="Times New Roman" w:hAnsi="Arial Narrow" w:cs="Times New Roman"/>
          <w:bCs/>
          <w:sz w:val="26"/>
          <w:szCs w:val="26"/>
        </w:rPr>
        <w:t>redovni sudovi ovu okolnost nijesu cijenili u širem kontekstu</w:t>
      </w:r>
      <w:r w:rsidRPr="00D833AB">
        <w:rPr>
          <w:rFonts w:ascii="Arial Narrow" w:eastAsia="Times New Roman" w:hAnsi="Arial Narrow" w:cs="Times New Roman"/>
          <w:sz w:val="26"/>
          <w:szCs w:val="26"/>
        </w:rPr>
        <w:t xml:space="preserve">, u okviru standarda koji proizlaze iz </w:t>
      </w:r>
      <w:r w:rsidRPr="00D833AB">
        <w:rPr>
          <w:rFonts w:ascii="Arial Narrow" w:eastAsia="Times New Roman" w:hAnsi="Arial Narrow" w:cs="Times New Roman"/>
          <w:bCs/>
          <w:sz w:val="26"/>
          <w:szCs w:val="26"/>
        </w:rPr>
        <w:t>člana 8 Evropske konvencije</w:t>
      </w:r>
      <w:r w:rsidRPr="00D833AB">
        <w:rPr>
          <w:rFonts w:ascii="Arial Narrow" w:eastAsia="Times New Roman" w:hAnsi="Arial Narrow" w:cs="Times New Roman"/>
          <w:sz w:val="26"/>
          <w:szCs w:val="26"/>
        </w:rPr>
        <w:t xml:space="preserve">. Sudovi su zauzeli stav da činjenica da je krivična prijava protiv podnositeljke ustavne žalbe odbačena ne znači da je krivični postupak nezakonito pokrenut, te su, pozivajući se na stepen tajnosti dokumenta na koji se prijava odnosila, zaključili da prvotuženi nije postupao zlonamjerno. Međutim, </w:t>
      </w:r>
      <w:r w:rsidRPr="00D833AB">
        <w:rPr>
          <w:rFonts w:ascii="Arial Narrow" w:eastAsia="Times New Roman" w:hAnsi="Arial Narrow" w:cs="Times New Roman"/>
          <w:bCs/>
          <w:sz w:val="26"/>
          <w:szCs w:val="26"/>
        </w:rPr>
        <w:t>činjenica da je krivična prijava formalno pokrenuta u skladu sa zakonom ne oslobađa sud obaveze</w:t>
      </w:r>
      <w:r w:rsidRPr="00D833AB">
        <w:rPr>
          <w:rFonts w:ascii="Arial Narrow" w:eastAsia="Times New Roman" w:hAnsi="Arial Narrow" w:cs="Times New Roman"/>
          <w:sz w:val="26"/>
          <w:szCs w:val="26"/>
        </w:rPr>
        <w:t xml:space="preserve"> da ispita da li je takva mjera, u konkretnom kontekstu, predstavljala </w:t>
      </w:r>
      <w:r w:rsidRPr="00D833AB">
        <w:rPr>
          <w:rFonts w:ascii="Arial Narrow" w:eastAsia="Times New Roman" w:hAnsi="Arial Narrow" w:cs="Times New Roman"/>
          <w:bCs/>
          <w:sz w:val="26"/>
          <w:szCs w:val="26"/>
        </w:rPr>
        <w:t>neopravdano i nesrazmjerno zadiranje u profesionalni i psihički integritet podnositeljke</w:t>
      </w:r>
      <w:r w:rsidRPr="00D833AB">
        <w:rPr>
          <w:rFonts w:ascii="Arial Narrow" w:eastAsia="Times New Roman" w:hAnsi="Arial Narrow" w:cs="Times New Roman"/>
          <w:sz w:val="26"/>
          <w:szCs w:val="26"/>
        </w:rPr>
        <w:t xml:space="preserve">. Sudovi su, stoga, propustili da razmotre da li je krivična prijava, iako zasnovana na „osnovima </w:t>
      </w:r>
      <w:proofErr w:type="gramStart"/>
      <w:r w:rsidRPr="00D833AB">
        <w:rPr>
          <w:rFonts w:ascii="Arial Narrow" w:eastAsia="Times New Roman" w:hAnsi="Arial Narrow" w:cs="Times New Roman"/>
          <w:sz w:val="26"/>
          <w:szCs w:val="26"/>
        </w:rPr>
        <w:t>sumnje“</w:t>
      </w:r>
      <w:proofErr w:type="gramEnd"/>
      <w:r w:rsidRPr="00D833AB">
        <w:rPr>
          <w:rFonts w:ascii="Arial Narrow" w:eastAsia="Times New Roman" w:hAnsi="Arial Narrow" w:cs="Times New Roman"/>
          <w:sz w:val="26"/>
          <w:szCs w:val="26"/>
        </w:rPr>
        <w:t xml:space="preserve">, imala </w:t>
      </w:r>
      <w:r w:rsidRPr="00D833AB">
        <w:rPr>
          <w:rFonts w:ascii="Arial Narrow" w:eastAsia="Times New Roman" w:hAnsi="Arial Narrow" w:cs="Times New Roman"/>
          <w:bCs/>
          <w:sz w:val="26"/>
          <w:szCs w:val="26"/>
        </w:rPr>
        <w:t>stvarni efekat na profesionalni ugled, dostojanstvo i psihički integritet podnositeljke</w:t>
      </w:r>
      <w:r w:rsidRPr="00D833AB">
        <w:rPr>
          <w:rFonts w:ascii="Arial Narrow" w:eastAsia="Times New Roman" w:hAnsi="Arial Narrow" w:cs="Times New Roman"/>
          <w:sz w:val="26"/>
          <w:szCs w:val="26"/>
        </w:rPr>
        <w:t xml:space="preserve">. Činjenica da u predlogu Savjeta nije navedeno da je podnositeljka izvršila krivično djelo </w:t>
      </w:r>
      <w:r w:rsidRPr="00D833AB">
        <w:rPr>
          <w:rFonts w:ascii="Arial Narrow" w:eastAsia="Times New Roman" w:hAnsi="Arial Narrow" w:cs="Times New Roman"/>
          <w:bCs/>
          <w:sz w:val="26"/>
          <w:szCs w:val="26"/>
        </w:rPr>
        <w:t>ne iscrpljuje obim zaštite po članu 8 Evropske konvencije</w:t>
      </w:r>
      <w:r w:rsidRPr="00D833AB">
        <w:rPr>
          <w:rFonts w:ascii="Arial Narrow" w:eastAsia="Times New Roman" w:hAnsi="Arial Narrow" w:cs="Times New Roman"/>
          <w:sz w:val="26"/>
          <w:szCs w:val="26"/>
        </w:rPr>
        <w:t xml:space="preserve">, jer se povreda tog prava ne svodi isključivo na dovođenje u pitanje pretpostavke nevinosti, već obuhvata i zaštitu od mjera koje, i bez formalne optužbe, proizvode </w:t>
      </w:r>
      <w:r w:rsidRPr="00D833AB">
        <w:rPr>
          <w:rFonts w:ascii="Arial Narrow" w:eastAsia="Times New Roman" w:hAnsi="Arial Narrow" w:cs="Times New Roman"/>
          <w:bCs/>
          <w:sz w:val="26"/>
          <w:szCs w:val="26"/>
        </w:rPr>
        <w:t>ozbiljne lične i profesionalne posljedice</w:t>
      </w:r>
      <w:r w:rsidRPr="00D833AB">
        <w:rPr>
          <w:rFonts w:ascii="Arial Narrow" w:eastAsia="Times New Roman" w:hAnsi="Arial Narrow" w:cs="Times New Roman"/>
          <w:sz w:val="26"/>
          <w:szCs w:val="26"/>
        </w:rPr>
        <w:t>.</w:t>
      </w:r>
    </w:p>
    <w:p w:rsidR="00D833AB" w:rsidRPr="00D833AB" w:rsidRDefault="00D833AB" w:rsidP="00D833AB">
      <w:pPr>
        <w:spacing w:after="0" w:line="240" w:lineRule="auto"/>
        <w:ind w:firstLine="720"/>
        <w:jc w:val="both"/>
        <w:rPr>
          <w:rFonts w:ascii="Arial Narrow" w:hAnsi="Arial Narrow"/>
          <w:sz w:val="26"/>
          <w:szCs w:val="26"/>
          <w:lang w:val="sr-Latn-ME"/>
        </w:rPr>
      </w:pPr>
      <w:r w:rsidRPr="00D833AB">
        <w:rPr>
          <w:rFonts w:ascii="Arial Narrow" w:hAnsi="Arial Narrow"/>
          <w:b/>
          <w:sz w:val="26"/>
          <w:szCs w:val="26"/>
          <w:lang w:val="sr-Latn-ME"/>
        </w:rPr>
        <w:t xml:space="preserve">52. </w:t>
      </w:r>
      <w:r w:rsidRPr="00D833AB">
        <w:rPr>
          <w:rFonts w:ascii="Arial Narrow" w:eastAsia="Times New Roman" w:hAnsi="Arial Narrow" w:cs="Times New Roman"/>
          <w:sz w:val="26"/>
          <w:szCs w:val="26"/>
          <w:lang w:val="sr-Latn-ME"/>
        </w:rPr>
        <w:t xml:space="preserve">S tim u vezi, Ustavni sud primjećuje da sudovi </w:t>
      </w:r>
      <w:r w:rsidRPr="00D833AB">
        <w:rPr>
          <w:rFonts w:ascii="Arial Narrow" w:hAnsi="Arial Narrow"/>
          <w:sz w:val="26"/>
          <w:szCs w:val="26"/>
          <w:lang w:val="sr-Latn-ME"/>
        </w:rPr>
        <w:t>nijesu cijenili relevantnu okolnost da je podnositeljka ustavne žalbe odlukom Skupštine Crne Gore broj 00-74/18-19/1 EPA 488 XXVI, od 5. jula 2018. godine, a na osnovu predloga Savjeta Centralne banke Crne Gore, razriješena dužnosti viceguvernera Centralne banke Crne Gore prije isteka mandata. Naime, sudovi su bili dužni da razmotre cjelokupni činjenični i pravni kontekst predmeta i da sagledaju kumulativni efekat svih prethodno navedenih okolnosti, uključujući i pokretanje krivičnog postupka, koje su u konkretnom slučaju</w:t>
      </w:r>
      <w:r w:rsidRPr="00D833AB">
        <w:rPr>
          <w:lang w:val="sr-Latn-ME"/>
        </w:rPr>
        <w:t xml:space="preserve"> </w:t>
      </w:r>
      <w:r w:rsidRPr="00D833AB">
        <w:rPr>
          <w:rFonts w:ascii="Arial Narrow" w:hAnsi="Arial Narrow"/>
          <w:sz w:val="26"/>
          <w:szCs w:val="26"/>
          <w:lang w:val="sr-Latn-ME"/>
        </w:rPr>
        <w:t>rezultirale razrješenjem podnositeljke sa javne funkcije. Propuštanjem takve sveobuhvatne analize, sudovi nijesu ocijenili posljedice koje su navedene okolnosti imale na profesionalni ugled, lično dostojanstvo i psihički integritet podnositeljke, čime nijesu ispunili standarde zaštite prava na poštovanje privatnog života garantovane članom 8 Evropske konvencije.</w:t>
      </w:r>
    </w:p>
    <w:p w:rsidR="00D833AB" w:rsidRPr="00D833AB" w:rsidRDefault="00D833AB" w:rsidP="00D833AB">
      <w:pPr>
        <w:spacing w:after="0" w:line="240" w:lineRule="auto"/>
        <w:jc w:val="both"/>
        <w:rPr>
          <w:rFonts w:ascii="Arial Narrow" w:hAnsi="Arial Narrow"/>
          <w:bCs/>
          <w:sz w:val="26"/>
          <w:szCs w:val="26"/>
          <w:lang w:val="sr-Latn-ME"/>
        </w:rPr>
      </w:pPr>
    </w:p>
    <w:p w:rsidR="00D833AB" w:rsidRPr="00D833AB" w:rsidRDefault="00D833AB" w:rsidP="00D833AB">
      <w:pPr>
        <w:spacing w:after="0" w:line="240" w:lineRule="auto"/>
        <w:jc w:val="both"/>
        <w:rPr>
          <w:rFonts w:ascii="Arial Narrow" w:eastAsia="Times New Roman" w:hAnsi="Arial Narrow" w:cs="Times New Roman"/>
          <w:sz w:val="26"/>
          <w:szCs w:val="26"/>
        </w:rPr>
      </w:pPr>
      <w:r w:rsidRPr="00D833AB">
        <w:rPr>
          <w:rFonts w:ascii="Arial Narrow" w:eastAsia="Times New Roman" w:hAnsi="Arial Narrow" w:cs="Times New Roman"/>
          <w:sz w:val="26"/>
          <w:szCs w:val="26"/>
        </w:rPr>
        <w:tab/>
      </w:r>
      <w:r w:rsidRPr="00D833AB">
        <w:rPr>
          <w:rFonts w:ascii="Arial Narrow" w:eastAsia="Times New Roman" w:hAnsi="Arial Narrow" w:cs="Times New Roman"/>
          <w:b/>
          <w:sz w:val="26"/>
          <w:szCs w:val="26"/>
        </w:rPr>
        <w:t>53.</w:t>
      </w:r>
      <w:r w:rsidRPr="00D833AB">
        <w:rPr>
          <w:rFonts w:ascii="Arial Narrow" w:eastAsia="Times New Roman" w:hAnsi="Arial Narrow" w:cs="Times New Roman"/>
          <w:sz w:val="26"/>
          <w:szCs w:val="26"/>
        </w:rPr>
        <w:t xml:space="preserve"> Kada je u pitanju dokument kojim je podnositeljka optužena za nemoralno ponašanje, sudovi su prigovor podnositeljke sveli na pitanje da li je sporni dokument formalno distribuiran među zaposlenima, zanemarujući da zaštita po članu 8 Evropske konvencije ne zavisi isključivo od obima distribucije, već i od </w:t>
      </w:r>
      <w:r w:rsidRPr="00D833AB">
        <w:rPr>
          <w:rFonts w:ascii="Arial Narrow" w:eastAsia="Times New Roman" w:hAnsi="Arial Narrow" w:cs="Times New Roman"/>
          <w:bCs/>
          <w:sz w:val="26"/>
          <w:szCs w:val="26"/>
        </w:rPr>
        <w:t>prirode i sadržaja informacije</w:t>
      </w:r>
      <w:r w:rsidRPr="00D833AB">
        <w:rPr>
          <w:rFonts w:ascii="Arial Narrow" w:eastAsia="Times New Roman" w:hAnsi="Arial Narrow" w:cs="Times New Roman"/>
          <w:sz w:val="26"/>
          <w:szCs w:val="26"/>
        </w:rPr>
        <w:t xml:space="preserve"> kojom se zadire u privatni život. </w:t>
      </w:r>
      <w:r w:rsidRPr="00D833AB">
        <w:rPr>
          <w:rFonts w:ascii="Arial Narrow" w:eastAsia="Times New Roman" w:hAnsi="Arial Narrow" w:cs="Times New Roman"/>
          <w:bCs/>
          <w:sz w:val="26"/>
          <w:szCs w:val="26"/>
        </w:rPr>
        <w:t>U skladu sa standardima Evropskog suda za ljudska prava, događaji koji se odnose na profesionalni život podnositeljke mogu potpadati pod zaštitu člana 8 Evropske konvencije kada utiču na način na koji pojedinac gradi svoj društveni identitet, profesionalni ugled i odnose sa drugim ljudima.</w:t>
      </w:r>
      <w:r w:rsidRPr="00D833AB">
        <w:rPr>
          <w:rFonts w:ascii="Arial Narrow" w:eastAsia="Times New Roman" w:hAnsi="Arial Narrow" w:cs="Times New Roman"/>
          <w:sz w:val="26"/>
          <w:szCs w:val="26"/>
        </w:rPr>
        <w:t xml:space="preserve"> Dokument koji sadrži navode o navodno „nemoralnom </w:t>
      </w:r>
      <w:proofErr w:type="gramStart"/>
      <w:r w:rsidRPr="00D833AB">
        <w:rPr>
          <w:rFonts w:ascii="Arial Narrow" w:eastAsia="Times New Roman" w:hAnsi="Arial Narrow" w:cs="Times New Roman"/>
          <w:sz w:val="26"/>
          <w:szCs w:val="26"/>
        </w:rPr>
        <w:t>ponašanju“ žene</w:t>
      </w:r>
      <w:proofErr w:type="gramEnd"/>
      <w:r w:rsidRPr="00D833AB">
        <w:rPr>
          <w:rFonts w:ascii="Arial Narrow" w:eastAsia="Times New Roman" w:hAnsi="Arial Narrow" w:cs="Times New Roman"/>
          <w:sz w:val="26"/>
          <w:szCs w:val="26"/>
        </w:rPr>
        <w:t xml:space="preserve"> na visokoj javnoj funkciji predstavlja ozbiljno zadiranje u njenu čast, ugled i dostojanstvo. Naime, sudovi su bili konzistetni u stavu da samo dostavljanje dokumenta od strane punomoćnika tuženih u ovom postupku ne može predstavljati zlostavljanje na radu, naročito imajući u vidu da podnositeljka tada više nije bila u radnom odnosu kod prvotuženog, </w:t>
      </w:r>
      <w:r w:rsidRPr="00D833AB">
        <w:rPr>
          <w:rFonts w:ascii="Arial Narrow" w:eastAsia="Times New Roman" w:hAnsi="Arial Narrow" w:cs="Times New Roman"/>
          <w:sz w:val="26"/>
          <w:szCs w:val="26"/>
        </w:rPr>
        <w:lastRenderedPageBreak/>
        <w:t>zbog čega eventualna povreda prava ličnosti ne može biti predmet ovog spora. Međutim, po stavu Ustavnog suda, upućivanje podnositeljke ustavne žalbe na drugi postupak, bez razmatranja efekta ovog dokumenta na pravo na privatnost podnositeljke ustavne žalbe, u svjetlu ukupnih okolnosti konkretnog slučaja, takođe, nije standard iz člana 8 Konvencije.</w:t>
      </w:r>
    </w:p>
    <w:p w:rsidR="00D833AB" w:rsidRPr="00D833AB" w:rsidRDefault="00D833AB" w:rsidP="00D833AB">
      <w:pPr>
        <w:spacing w:after="0" w:line="240" w:lineRule="auto"/>
        <w:jc w:val="both"/>
        <w:rPr>
          <w:rFonts w:ascii="Arial Narrow" w:eastAsia="Times New Roman" w:hAnsi="Arial Narrow" w:cs="Times New Roman"/>
          <w:sz w:val="26"/>
          <w:szCs w:val="26"/>
        </w:rPr>
      </w:pPr>
    </w:p>
    <w:p w:rsidR="00D833AB" w:rsidRPr="00D833AB" w:rsidRDefault="00D833AB" w:rsidP="00D833AB">
      <w:pPr>
        <w:spacing w:after="0" w:line="240" w:lineRule="auto"/>
        <w:jc w:val="both"/>
        <w:rPr>
          <w:rFonts w:ascii="Arial Narrow" w:eastAsia="Times New Roman" w:hAnsi="Arial Narrow" w:cs="Times New Roman"/>
          <w:sz w:val="26"/>
          <w:szCs w:val="26"/>
        </w:rPr>
      </w:pPr>
      <w:r w:rsidRPr="00D833AB">
        <w:rPr>
          <w:rFonts w:ascii="Arial Narrow" w:eastAsia="Times New Roman" w:hAnsi="Arial Narrow" w:cs="Times New Roman"/>
          <w:b/>
          <w:sz w:val="26"/>
          <w:szCs w:val="26"/>
        </w:rPr>
        <w:tab/>
        <w:t>54.</w:t>
      </w:r>
      <w:r w:rsidRPr="00D833AB">
        <w:rPr>
          <w:rFonts w:ascii="Arial Narrow" w:eastAsia="Times New Roman" w:hAnsi="Arial Narrow" w:cs="Times New Roman"/>
          <w:sz w:val="26"/>
          <w:szCs w:val="26"/>
        </w:rPr>
        <w:t xml:space="preserve"> Ustavni sud podsjeća da je Evropski sud za ljudska prava je u presudi </w:t>
      </w:r>
      <w:r w:rsidRPr="00D833AB">
        <w:rPr>
          <w:rFonts w:ascii="Arial Narrow" w:eastAsia="Times New Roman" w:hAnsi="Arial Narrow" w:cs="Times New Roman"/>
          <w:i/>
          <w:iCs/>
          <w:sz w:val="26"/>
          <w:szCs w:val="26"/>
        </w:rPr>
        <w:t>Špadijer protiv Crne Gore</w:t>
      </w:r>
      <w:r w:rsidRPr="00D833AB">
        <w:rPr>
          <w:rFonts w:ascii="Arial Narrow" w:eastAsia="Times New Roman" w:hAnsi="Arial Narrow" w:cs="Times New Roman"/>
          <w:sz w:val="26"/>
          <w:szCs w:val="26"/>
        </w:rPr>
        <w:t xml:space="preserve"> (predstavka broj 31549/18, presuda od 9. Novembra 2021. godine), naglasio da nacionalni sudovi u predmetima koji se odnose na navodno zlostavljanje na radu ne smiju ograničiti svoju analizu na formalne kriterijume, poput učestalosti ili formalne zakonitosti pojedinačnih radnji, već su dužni da sagledaju cjelokupan kontekst slučaja i stvarni uticaj osporenog postupanja na psihički i profesionalni integritet podnosioca. Sud je upozorio da insistiranje na rigidnim i formalističkim kriterijumima može učiniti zaštitu prava iz člana 8 Konvencije iluzornom i nedjelotvornom.</w:t>
      </w:r>
    </w:p>
    <w:p w:rsidR="00D833AB" w:rsidRPr="00D833AB" w:rsidRDefault="00D833AB" w:rsidP="00D833AB">
      <w:pPr>
        <w:shd w:val="clear" w:color="auto" w:fill="FFFFFF"/>
        <w:spacing w:after="0" w:line="240" w:lineRule="auto"/>
        <w:jc w:val="both"/>
        <w:textAlignment w:val="top"/>
        <w:rPr>
          <w:rFonts w:ascii="Arial Narrow" w:hAnsi="Arial Narrow"/>
          <w:b/>
          <w:sz w:val="26"/>
          <w:szCs w:val="26"/>
          <w:lang w:val="sr-Latn-ME"/>
        </w:rPr>
      </w:pPr>
    </w:p>
    <w:p w:rsidR="00D833AB" w:rsidRPr="00D833AB" w:rsidRDefault="00D833AB" w:rsidP="00D833AB">
      <w:pPr>
        <w:shd w:val="clear" w:color="auto" w:fill="FFFFFF"/>
        <w:spacing w:after="0" w:line="240" w:lineRule="auto"/>
        <w:jc w:val="both"/>
        <w:textAlignment w:val="top"/>
        <w:rPr>
          <w:rFonts w:ascii="Arial Narrow" w:hAnsi="Arial Narrow" w:cs="Arial"/>
          <w:color w:val="000000"/>
          <w:sz w:val="26"/>
          <w:szCs w:val="26"/>
          <w:lang w:val="sr-Latn-ME"/>
        </w:rPr>
      </w:pPr>
      <w:r w:rsidRPr="00D833AB">
        <w:rPr>
          <w:rFonts w:ascii="Arial Narrow" w:hAnsi="Arial Narrow"/>
          <w:b/>
          <w:sz w:val="26"/>
          <w:szCs w:val="26"/>
          <w:lang w:val="sr-Latn-ME"/>
        </w:rPr>
        <w:tab/>
      </w:r>
      <w:r w:rsidRPr="00D833AB">
        <w:rPr>
          <w:rFonts w:ascii="Arial Narrow" w:hAnsi="Arial Narrow"/>
          <w:b/>
          <w:iCs/>
          <w:sz w:val="26"/>
          <w:szCs w:val="26"/>
          <w:lang w:val="sr-Latn-ME"/>
        </w:rPr>
        <w:t xml:space="preserve">55. </w:t>
      </w:r>
      <w:r w:rsidRPr="00D833AB">
        <w:rPr>
          <w:rFonts w:ascii="Arial Narrow" w:hAnsi="Arial Narrow"/>
          <w:iCs/>
          <w:sz w:val="26"/>
          <w:szCs w:val="26"/>
          <w:lang w:val="sr-Latn-ME"/>
        </w:rPr>
        <w:t>Ustavni sud ističe da su sudovi</w:t>
      </w:r>
      <w:r w:rsidRPr="00D833AB">
        <w:rPr>
          <w:rFonts w:ascii="Arial Narrow" w:hAnsi="Arial Narrow"/>
          <w:b/>
          <w:iCs/>
          <w:sz w:val="26"/>
          <w:szCs w:val="26"/>
          <w:lang w:val="sr-Latn-ME"/>
        </w:rPr>
        <w:t xml:space="preserve"> </w:t>
      </w:r>
      <w:r w:rsidRPr="00D833AB">
        <w:rPr>
          <w:rFonts w:ascii="Arial Narrow" w:hAnsi="Arial Narrow" w:cs="Arial"/>
          <w:color w:val="000000"/>
          <w:sz w:val="26"/>
          <w:szCs w:val="26"/>
          <w:lang w:val="sr-Latn-ME"/>
        </w:rPr>
        <w:t xml:space="preserve">u obavezi da uvažavaju zahtjev koji pred njih stavlja crnogorska ustavna datost, a to je da Ustav svakom jamči poštovanje i pravnu zaštitu dostojanstva, </w:t>
      </w:r>
      <w:r w:rsidRPr="00D833AB">
        <w:rPr>
          <w:rFonts w:ascii="Arial Narrow" w:hAnsi="Arial Narrow" w:cs="Tahoma"/>
          <w:color w:val="000000"/>
          <w:sz w:val="26"/>
          <w:szCs w:val="26"/>
          <w:lang w:val="sr-Latn-ME"/>
        </w:rPr>
        <w:t>fizičkog i psihičkog integriteta čovjeka, njegove privatnosti i ličnih prava</w:t>
      </w:r>
      <w:r w:rsidRPr="00D833AB">
        <w:rPr>
          <w:rFonts w:ascii="Arial Narrow" w:hAnsi="Arial Narrow" w:cs="Arial"/>
          <w:color w:val="000000"/>
          <w:sz w:val="26"/>
          <w:szCs w:val="26"/>
          <w:lang w:val="sr-Latn-ME"/>
        </w:rPr>
        <w:t>. Dostojanstvo čovjeka ključni je element koncepta prava i dužnosti čovjeka. Svako ljudsko biće ima dostojanstvo samom činjenicom što pripada ljudskom rodu. U ljudskom dostojanstvu svi su ljudi jednaki u svojim pravima i obavezama koja proizlaze iz ljudske prirode. Dostojanstvo je nepovredivo, jer proizlazi iz ljudske jednakosti. Ono pripada svakom, i to svakom jednako. Ugled i čast spoljne su manifestacije ljudskog dostojanstva, kao zbir etičkih vrijednosti koje pojedinac ima kao član određene društvene zajednice. Subjektivno, ugled i čast se, kao Ustavom zaštićena dobra, iskazuju kroz uvažavanje okoline i lični osjećaj vrijednosti. To znači da su zaštićeni kako dostojanstvo, kao svojstvo svakog čovjeka, tako i njegova spoljna subjektivna manifestacija. Ova zaštita, stoga, zahvata i intimnu sferu pojedinca, odnosno i njegov privatni život.</w:t>
      </w:r>
    </w:p>
    <w:p w:rsidR="00D833AB" w:rsidRPr="00D833AB" w:rsidRDefault="00D833AB" w:rsidP="00D833AB">
      <w:pPr>
        <w:shd w:val="clear" w:color="auto" w:fill="FFFFFF"/>
        <w:spacing w:after="0" w:line="240" w:lineRule="auto"/>
        <w:jc w:val="both"/>
        <w:textAlignment w:val="top"/>
        <w:rPr>
          <w:rFonts w:ascii="Arial Narrow" w:hAnsi="Arial Narrow"/>
          <w:sz w:val="26"/>
          <w:szCs w:val="26"/>
          <w:lang w:val="sr-Latn-ME"/>
        </w:rPr>
      </w:pPr>
    </w:p>
    <w:p w:rsidR="00D833AB" w:rsidRPr="00D833AB" w:rsidRDefault="00D833AB" w:rsidP="00D833AB">
      <w:pPr>
        <w:spacing w:after="0" w:line="240" w:lineRule="auto"/>
        <w:jc w:val="both"/>
        <w:rPr>
          <w:rFonts w:ascii="Arial Narrow" w:hAnsi="Arial Narrow"/>
          <w:sz w:val="26"/>
          <w:szCs w:val="26"/>
          <w:lang w:val="sr-Latn-ME"/>
        </w:rPr>
      </w:pPr>
      <w:r w:rsidRPr="00D833AB">
        <w:rPr>
          <w:rFonts w:ascii="Arial Narrow" w:hAnsi="Arial Narrow" w:cs="Arial"/>
          <w:b/>
          <w:color w:val="000000"/>
          <w:sz w:val="26"/>
          <w:szCs w:val="26"/>
          <w:lang w:val="sr-Latn-ME"/>
        </w:rPr>
        <w:tab/>
      </w:r>
      <w:r w:rsidRPr="00D833AB">
        <w:rPr>
          <w:rFonts w:ascii="Arial Narrow" w:hAnsi="Arial Narrow"/>
          <w:b/>
          <w:sz w:val="26"/>
          <w:szCs w:val="26"/>
          <w:lang w:val="sr-Latn-ME"/>
        </w:rPr>
        <w:t>56.</w:t>
      </w:r>
      <w:r w:rsidRPr="00D833AB">
        <w:rPr>
          <w:rFonts w:ascii="Arial Narrow" w:hAnsi="Arial Narrow"/>
          <w:sz w:val="26"/>
          <w:szCs w:val="26"/>
          <w:lang w:val="sr-Latn-ME"/>
        </w:rPr>
        <w:t xml:space="preserve"> Ustavni sud Crne Gore smatra da je ljudsko dostojanstvo centralna tačka svih ljudskih prava i sloboda. Ljudsko dostojanstvo, zapravo, težište je svih ustavnih vrijednosti, od kog se mora polaziti pri uravnoteženju svih drugih ustavnih vrijednosti, jer je ljudsko dostojanstvo apsolutno, ne može se degradirati i nije ga moguće ni ograničavati ni vagati. </w:t>
      </w:r>
      <w:r w:rsidRPr="00D833AB">
        <w:rPr>
          <w:rFonts w:ascii="Arial Narrow" w:hAnsi="Arial Narrow" w:cs="Arial"/>
          <w:color w:val="000000"/>
          <w:sz w:val="26"/>
          <w:szCs w:val="26"/>
          <w:lang w:val="sr-Latn-ME"/>
        </w:rPr>
        <w:t xml:space="preserve">Dakle, </w:t>
      </w:r>
      <w:r w:rsidRPr="00D833AB">
        <w:rPr>
          <w:rFonts w:ascii="Arial Narrow" w:hAnsi="Arial Narrow"/>
          <w:sz w:val="26"/>
          <w:szCs w:val="26"/>
          <w:lang w:val="sr-Latn-ME"/>
        </w:rPr>
        <w:t xml:space="preserve">dostojanstvo u Crnoj Gori ustavno je pravo svake osobe. S tim u vezi, stoji obaveza </w:t>
      </w:r>
      <w:r w:rsidRPr="00D833AB">
        <w:rPr>
          <w:rFonts w:ascii="Arial Narrow" w:hAnsi="Arial Narrow"/>
          <w:color w:val="000000"/>
          <w:sz w:val="26"/>
          <w:szCs w:val="26"/>
          <w:lang w:val="sr-Latn-ME"/>
        </w:rPr>
        <w:t>poslodavca da zaštiti radnika od svih neželjenih loših ponašanja na radu i u vezi s radom, pa i onih koje nemaju diskriminatoran ili mobingujući karakter, uvijek kada takva ponašanja mogu biti prijetnja zdravlju, dostojanstvu i sigurnosti radnika na radu i u vezi s radom. Zaštita ljudskog dostojanstva je ustavnosudska paradigma, budući da</w:t>
      </w:r>
      <w:r w:rsidRPr="00D833AB">
        <w:rPr>
          <w:rFonts w:ascii="Arial Narrow" w:hAnsi="Arial Narrow"/>
          <w:sz w:val="26"/>
          <w:szCs w:val="26"/>
          <w:lang w:val="sr-Latn-ME"/>
        </w:rPr>
        <w:t xml:space="preserve"> nijedno drugo pojedinačno pravo ili sloboda, odnosno nijedan opšti ili javni interes nije dopušteno upoređivati niti mu je dopušteno dati prednost pred ljudskim dostojanstvom.</w:t>
      </w:r>
    </w:p>
    <w:p w:rsidR="00D833AB" w:rsidRPr="00D833AB" w:rsidRDefault="00D833AB" w:rsidP="00D833AB">
      <w:pPr>
        <w:spacing w:after="0" w:line="240" w:lineRule="auto"/>
        <w:jc w:val="both"/>
        <w:rPr>
          <w:rFonts w:ascii="Arial Narrow" w:eastAsia="Times New Roman" w:hAnsi="Arial Narrow" w:cs="Times New Roman"/>
          <w:sz w:val="26"/>
          <w:szCs w:val="26"/>
        </w:rPr>
      </w:pPr>
    </w:p>
    <w:p w:rsidR="00D833AB" w:rsidRPr="00D833AB" w:rsidRDefault="00D833AB" w:rsidP="00D833AB">
      <w:pPr>
        <w:spacing w:after="0" w:line="240" w:lineRule="auto"/>
        <w:jc w:val="both"/>
        <w:rPr>
          <w:rFonts w:ascii="Arial Narrow" w:eastAsia="Times New Roman" w:hAnsi="Arial Narrow" w:cs="Times New Roman"/>
          <w:sz w:val="26"/>
          <w:szCs w:val="26"/>
        </w:rPr>
      </w:pPr>
      <w:r w:rsidRPr="00D833AB">
        <w:rPr>
          <w:rFonts w:ascii="Arial Narrow" w:eastAsia="Times New Roman" w:hAnsi="Arial Narrow" w:cs="Times New Roman"/>
          <w:b/>
          <w:sz w:val="26"/>
          <w:szCs w:val="26"/>
        </w:rPr>
        <w:tab/>
        <w:t>57.</w:t>
      </w:r>
      <w:r w:rsidRPr="00D833AB">
        <w:rPr>
          <w:rFonts w:ascii="Arial Narrow" w:eastAsia="Times New Roman" w:hAnsi="Arial Narrow" w:cs="Times New Roman"/>
          <w:sz w:val="26"/>
          <w:szCs w:val="26"/>
        </w:rPr>
        <w:t xml:space="preserve">  Ustavni sud ne prejudicira ocjenu redovnih sudova o tome da li su događaji na radnom mjestu, ispitivani u slučaju podnositeljke ustavne žalbe, zaista predstavljali mobing. Međutim, činjenica da su sudovi te događaje ispitivali </w:t>
      </w:r>
      <w:r w:rsidRPr="00D833AB">
        <w:rPr>
          <w:rFonts w:ascii="Arial Narrow" w:eastAsia="Times New Roman" w:hAnsi="Arial Narrow" w:cs="Times New Roman"/>
          <w:bCs/>
          <w:sz w:val="26"/>
          <w:szCs w:val="26"/>
        </w:rPr>
        <w:t>bez sagledavanja njihovog cjelokupnog konteksta</w:t>
      </w:r>
      <w:r w:rsidRPr="00D833AB">
        <w:rPr>
          <w:rFonts w:ascii="Arial Narrow" w:eastAsia="Times New Roman" w:hAnsi="Arial Narrow" w:cs="Times New Roman"/>
          <w:sz w:val="26"/>
          <w:szCs w:val="26"/>
        </w:rPr>
        <w:t xml:space="preserve"> i u vezi sa stvarnim posljedicama koje su imali po psihički i profesionalni integritet podnositeljke, ukazuje da podnositeljki </w:t>
      </w:r>
      <w:r w:rsidRPr="00D833AB">
        <w:rPr>
          <w:rFonts w:ascii="Arial Narrow" w:eastAsia="Times New Roman" w:hAnsi="Arial Narrow" w:cs="Times New Roman"/>
          <w:bCs/>
          <w:sz w:val="26"/>
          <w:szCs w:val="26"/>
        </w:rPr>
        <w:t>nije pružena zaštita</w:t>
      </w:r>
      <w:r w:rsidRPr="00D833AB">
        <w:rPr>
          <w:rFonts w:ascii="Arial Narrow" w:eastAsia="Times New Roman" w:hAnsi="Arial Narrow" w:cs="Times New Roman"/>
          <w:sz w:val="26"/>
          <w:szCs w:val="26"/>
        </w:rPr>
        <w:t xml:space="preserve"> koja bi se, shodno standardima iz prakse Evropskog suda za ljudska prava, </w:t>
      </w:r>
      <w:r w:rsidRPr="00D833AB">
        <w:rPr>
          <w:rFonts w:ascii="Arial Narrow" w:eastAsia="Times New Roman" w:hAnsi="Arial Narrow" w:cs="Times New Roman"/>
          <w:bCs/>
          <w:sz w:val="26"/>
          <w:szCs w:val="26"/>
        </w:rPr>
        <w:t>mogla smatrati djelotvornom,</w:t>
      </w:r>
      <w:r w:rsidRPr="00D833AB">
        <w:rPr>
          <w:rFonts w:ascii="Arial Narrow" w:eastAsia="Times New Roman" w:hAnsi="Arial Narrow" w:cs="Times New Roman"/>
          <w:sz w:val="26"/>
          <w:szCs w:val="26"/>
        </w:rPr>
        <w:t xml:space="preserve"> u smislu člana 8 Evropske konvencije.</w:t>
      </w:r>
    </w:p>
    <w:p w:rsidR="00D833AB" w:rsidRPr="00D833AB" w:rsidRDefault="00D833AB" w:rsidP="00D833AB">
      <w:pPr>
        <w:spacing w:before="100" w:beforeAutospacing="1" w:after="100" w:afterAutospacing="1" w:line="240" w:lineRule="auto"/>
        <w:jc w:val="both"/>
        <w:rPr>
          <w:rFonts w:ascii="Arial Narrow" w:eastAsia="Times New Roman" w:hAnsi="Arial Narrow" w:cs="Times New Roman"/>
          <w:sz w:val="26"/>
          <w:szCs w:val="26"/>
          <w:lang w:val="sr-Latn-ME"/>
        </w:rPr>
      </w:pPr>
      <w:r w:rsidRPr="00D833AB">
        <w:rPr>
          <w:rFonts w:ascii="Arial Narrow" w:eastAsia="Times New Roman" w:hAnsi="Arial Narrow" w:cs="Times New Roman"/>
          <w:sz w:val="26"/>
          <w:szCs w:val="26"/>
          <w:lang w:val="sr-Latn-ME"/>
        </w:rPr>
        <w:lastRenderedPageBreak/>
        <w:tab/>
      </w:r>
      <w:r w:rsidRPr="00D833AB">
        <w:rPr>
          <w:rFonts w:ascii="Arial Narrow" w:eastAsia="Times New Roman" w:hAnsi="Arial Narrow" w:cs="Times New Roman"/>
          <w:b/>
          <w:bCs/>
          <w:sz w:val="26"/>
          <w:szCs w:val="26"/>
        </w:rPr>
        <w:t>58</w:t>
      </w:r>
      <w:r w:rsidRPr="00D833AB">
        <w:rPr>
          <w:rFonts w:ascii="Arial Narrow" w:eastAsia="Times New Roman" w:hAnsi="Arial Narrow" w:cs="Times New Roman"/>
          <w:bCs/>
          <w:sz w:val="26"/>
          <w:szCs w:val="26"/>
        </w:rPr>
        <w:t>.</w:t>
      </w:r>
      <w:r w:rsidRPr="00D833AB">
        <w:rPr>
          <w:rFonts w:ascii="Arial Narrow" w:eastAsia="Times New Roman" w:hAnsi="Arial Narrow" w:cs="Times New Roman"/>
          <w:sz w:val="26"/>
          <w:szCs w:val="26"/>
        </w:rPr>
        <w:t xml:space="preserve"> Saglasno navedenom, Ustavni sud smatra da je način na koji su građanskopravni mehanizmi primijenjeni u konkretnim okolnostima predmeta podnositeljke ustavne žalbe </w:t>
      </w:r>
      <w:r w:rsidRPr="00D833AB">
        <w:rPr>
          <w:rFonts w:ascii="Arial Narrow" w:eastAsia="Times New Roman" w:hAnsi="Arial Narrow" w:cs="Times New Roman"/>
          <w:bCs/>
          <w:sz w:val="26"/>
          <w:szCs w:val="26"/>
        </w:rPr>
        <w:t>bio manjkav u toj mjeri</w:t>
      </w:r>
      <w:r w:rsidRPr="00D833AB">
        <w:rPr>
          <w:rFonts w:ascii="Arial Narrow" w:eastAsia="Times New Roman" w:hAnsi="Arial Narrow" w:cs="Times New Roman"/>
          <w:sz w:val="26"/>
          <w:szCs w:val="26"/>
        </w:rPr>
        <w:t xml:space="preserve"> da predstavlja </w:t>
      </w:r>
      <w:r w:rsidRPr="00D833AB">
        <w:rPr>
          <w:rFonts w:ascii="Arial Narrow" w:eastAsia="Times New Roman" w:hAnsi="Arial Narrow" w:cs="Times New Roman"/>
          <w:bCs/>
          <w:sz w:val="26"/>
          <w:szCs w:val="26"/>
        </w:rPr>
        <w:t>povredu pozitivne obaveze sudova,</w:t>
      </w:r>
      <w:r w:rsidRPr="00D833AB">
        <w:rPr>
          <w:rFonts w:ascii="Arial Narrow" w:eastAsia="Times New Roman" w:hAnsi="Arial Narrow" w:cs="Times New Roman"/>
          <w:sz w:val="26"/>
          <w:szCs w:val="26"/>
        </w:rPr>
        <w:t xml:space="preserve"> u smislu člana 8 Evropske konvencije. Shodno tome, Ustavni sud utvrđuje da je došlo do </w:t>
      </w:r>
      <w:r w:rsidRPr="00D833AB">
        <w:rPr>
          <w:rFonts w:ascii="Arial Narrow" w:eastAsia="Times New Roman" w:hAnsi="Arial Narrow" w:cs="Times New Roman"/>
          <w:bCs/>
          <w:sz w:val="26"/>
          <w:szCs w:val="26"/>
        </w:rPr>
        <w:t>povrede člana 8 Evropske konvencije</w:t>
      </w:r>
      <w:r w:rsidRPr="00D833AB">
        <w:rPr>
          <w:rFonts w:ascii="Arial Narrow" w:eastAsia="Times New Roman" w:hAnsi="Arial Narrow" w:cs="Times New Roman"/>
          <w:sz w:val="26"/>
          <w:szCs w:val="26"/>
        </w:rPr>
        <w:t>.</w:t>
      </w:r>
    </w:p>
    <w:p w:rsidR="00D833AB" w:rsidRPr="00D833AB" w:rsidRDefault="00D833AB" w:rsidP="00D833AB">
      <w:pPr>
        <w:spacing w:after="0" w:line="240" w:lineRule="auto"/>
        <w:ind w:firstLine="283"/>
        <w:jc w:val="both"/>
        <w:rPr>
          <w:rFonts w:ascii="Arial Narrow" w:hAnsi="Arial Narrow"/>
          <w:sz w:val="26"/>
          <w:szCs w:val="26"/>
          <w:lang w:val="sr-Latn-ME"/>
        </w:rPr>
      </w:pPr>
      <w:r w:rsidRPr="00D833AB">
        <w:rPr>
          <w:rFonts w:ascii="Arial Narrow" w:hAnsi="Arial Narrow"/>
          <w:sz w:val="26"/>
          <w:szCs w:val="26"/>
          <w:lang w:val="sr-Latn-ME"/>
        </w:rPr>
        <w:tab/>
        <w:t>Na osnovu izloženog, odlučeno je kao u izreci.</w:t>
      </w:r>
    </w:p>
    <w:p w:rsidR="00D833AB" w:rsidRPr="00D833AB" w:rsidRDefault="00D833AB" w:rsidP="00D833AB">
      <w:pPr>
        <w:spacing w:after="0" w:line="240" w:lineRule="auto"/>
        <w:ind w:firstLine="283"/>
        <w:jc w:val="both"/>
        <w:rPr>
          <w:rFonts w:ascii="Arial Narrow" w:hAnsi="Arial Narrow"/>
          <w:sz w:val="26"/>
          <w:szCs w:val="26"/>
          <w:lang w:val="sr-Latn-ME"/>
        </w:rPr>
      </w:pPr>
    </w:p>
    <w:p w:rsidR="00D833AB" w:rsidRPr="00D833AB" w:rsidRDefault="00D833AB" w:rsidP="00D833AB">
      <w:pPr>
        <w:spacing w:after="0" w:line="240" w:lineRule="auto"/>
        <w:jc w:val="both"/>
        <w:rPr>
          <w:rFonts w:ascii="Arial Narrow" w:hAnsi="Arial Narrow" w:cs="Arial"/>
          <w:sz w:val="26"/>
          <w:szCs w:val="26"/>
          <w:lang w:val="sr-Latn-ME"/>
        </w:rPr>
      </w:pPr>
      <w:r w:rsidRPr="00D833AB">
        <w:rPr>
          <w:rFonts w:ascii="Arial Narrow" w:hAnsi="Arial Narrow" w:cs="Arial"/>
          <w:sz w:val="26"/>
          <w:szCs w:val="26"/>
          <w:lang w:val="sr-Latn-ME"/>
        </w:rPr>
        <w:t>U-III br. 454/23           </w:t>
      </w:r>
      <w:r w:rsidRPr="00D833AB">
        <w:rPr>
          <w:rFonts w:ascii="Arial Narrow" w:hAnsi="Arial Narrow" w:cs="Arial"/>
          <w:sz w:val="26"/>
          <w:szCs w:val="26"/>
          <w:lang w:val="sr-Latn-ME"/>
        </w:rPr>
        <w:tab/>
      </w:r>
      <w:r w:rsidRPr="00D833AB">
        <w:rPr>
          <w:rFonts w:ascii="Arial Narrow" w:hAnsi="Arial Narrow" w:cs="Arial"/>
          <w:sz w:val="26"/>
          <w:szCs w:val="26"/>
          <w:lang w:val="sr-Latn-ME"/>
        </w:rPr>
        <w:tab/>
      </w:r>
      <w:r w:rsidRPr="00D833AB">
        <w:rPr>
          <w:rFonts w:ascii="Arial Narrow" w:hAnsi="Arial Narrow" w:cs="Arial"/>
          <w:sz w:val="26"/>
          <w:szCs w:val="26"/>
          <w:lang w:val="sr-Latn-ME"/>
        </w:rPr>
        <w:tab/>
      </w:r>
      <w:r w:rsidRPr="00D833AB">
        <w:rPr>
          <w:rFonts w:ascii="Arial Narrow" w:hAnsi="Arial Narrow" w:cs="Arial"/>
          <w:sz w:val="26"/>
          <w:szCs w:val="26"/>
          <w:lang w:val="sr-Latn-ME"/>
        </w:rPr>
        <w:tab/>
      </w:r>
      <w:r w:rsidRPr="00D833AB">
        <w:rPr>
          <w:rFonts w:ascii="Arial Narrow" w:hAnsi="Arial Narrow" w:cs="Arial"/>
          <w:sz w:val="26"/>
          <w:szCs w:val="26"/>
          <w:lang w:val="sr-Latn-ME"/>
        </w:rPr>
        <w:tab/>
      </w:r>
      <w:r w:rsidRPr="00D833AB">
        <w:rPr>
          <w:rFonts w:ascii="Arial Narrow" w:hAnsi="Arial Narrow" w:cs="Arial"/>
          <w:sz w:val="26"/>
          <w:szCs w:val="26"/>
          <w:lang w:val="sr-Latn-ME"/>
        </w:rPr>
        <w:tab/>
      </w:r>
      <w:r w:rsidRPr="00D833AB">
        <w:rPr>
          <w:rFonts w:ascii="Arial Narrow" w:hAnsi="Arial Narrow" w:cs="Arial"/>
          <w:sz w:val="26"/>
          <w:szCs w:val="26"/>
          <w:lang w:val="sr-Latn-ME"/>
        </w:rPr>
        <w:tab/>
        <w:t>Predsjednica Vijeća,</w:t>
      </w:r>
    </w:p>
    <w:p w:rsidR="00D833AB" w:rsidRPr="00D833AB" w:rsidRDefault="00D833AB" w:rsidP="00D833AB">
      <w:pPr>
        <w:spacing w:after="0" w:line="240" w:lineRule="auto"/>
        <w:jc w:val="both"/>
        <w:rPr>
          <w:rFonts w:ascii="Arial Narrow" w:hAnsi="Arial Narrow" w:cs="Arial"/>
          <w:sz w:val="26"/>
          <w:szCs w:val="26"/>
          <w:lang w:val="sr-Latn-ME" w:eastAsia="en-GB"/>
        </w:rPr>
      </w:pPr>
      <w:r w:rsidRPr="00D833AB">
        <w:rPr>
          <w:rFonts w:ascii="Arial Narrow" w:hAnsi="Arial Narrow" w:cs="Arial"/>
          <w:sz w:val="26"/>
          <w:szCs w:val="26"/>
          <w:lang w:val="sr-Latn-ME"/>
        </w:rPr>
        <w:t xml:space="preserve">16. januar 2026. godine                                                            </w:t>
      </w:r>
      <w:r w:rsidRPr="00D833AB">
        <w:rPr>
          <w:rFonts w:ascii="Arial Narrow" w:hAnsi="Arial Narrow" w:cs="Arial"/>
          <w:sz w:val="26"/>
          <w:szCs w:val="26"/>
          <w:lang w:val="sr-Latn-ME"/>
        </w:rPr>
        <w:tab/>
        <w:t>Snežana Armenko</w:t>
      </w:r>
      <w:r w:rsidRPr="00D833AB">
        <w:rPr>
          <w:rFonts w:ascii="Arial Narrow" w:hAnsi="Arial Narrow"/>
          <w:sz w:val="26"/>
          <w:szCs w:val="26"/>
          <w:lang w:val="sr-Latn-ME"/>
        </w:rPr>
        <w:t>,s.r.</w:t>
      </w:r>
    </w:p>
    <w:p w:rsidR="00D833AB" w:rsidRPr="00D833AB" w:rsidRDefault="00D833AB" w:rsidP="00D833AB">
      <w:pPr>
        <w:spacing w:after="0" w:line="240" w:lineRule="auto"/>
        <w:jc w:val="both"/>
        <w:rPr>
          <w:rFonts w:ascii="Arial Narrow" w:hAnsi="Arial Narrow" w:cs="Arial"/>
          <w:sz w:val="26"/>
          <w:szCs w:val="26"/>
          <w:lang w:val="sr-Latn-ME" w:eastAsia="en-GB"/>
        </w:rPr>
      </w:pPr>
      <w:r w:rsidRPr="00D833AB">
        <w:rPr>
          <w:rFonts w:ascii="Arial Narrow" w:hAnsi="Arial Narrow" w:cs="Arial"/>
          <w:sz w:val="26"/>
          <w:szCs w:val="26"/>
          <w:lang w:val="sr-Latn-ME" w:eastAsia="en-GB"/>
        </w:rPr>
        <w:t>P o d g o r i c a</w:t>
      </w:r>
    </w:p>
    <w:p w:rsidR="00D833AB" w:rsidRPr="00D833AB" w:rsidRDefault="00D833AB" w:rsidP="00D833AB">
      <w:pPr>
        <w:spacing w:after="160" w:line="259" w:lineRule="auto"/>
        <w:jc w:val="both"/>
        <w:rPr>
          <w:rFonts w:ascii="Arial Narrow" w:hAnsi="Arial Narrow" w:cs="Arial"/>
          <w:sz w:val="26"/>
          <w:szCs w:val="26"/>
          <w:lang w:val="sr-Latn-ME" w:eastAsia="en-GB"/>
        </w:rPr>
      </w:pPr>
    </w:p>
    <w:p w:rsidR="00D833AB" w:rsidRPr="00D833AB" w:rsidRDefault="00D833AB" w:rsidP="00D833AB">
      <w:pPr>
        <w:tabs>
          <w:tab w:val="left" w:pos="9540"/>
        </w:tabs>
        <w:suppressAutoHyphens/>
        <w:spacing w:after="0" w:line="240" w:lineRule="auto"/>
        <w:ind w:right="-360"/>
        <w:jc w:val="both"/>
        <w:rPr>
          <w:rFonts w:ascii="Arial Narrow" w:eastAsia="Times New Roman" w:hAnsi="Arial Narrow" w:cs="Times New Roman"/>
          <w:sz w:val="26"/>
          <w:szCs w:val="26"/>
          <w:lang w:val="sr-Latn-ME"/>
        </w:rPr>
      </w:pPr>
    </w:p>
    <w:p w:rsidR="00D833AB" w:rsidRPr="00D833AB" w:rsidRDefault="00D833AB" w:rsidP="00D833AB">
      <w:pPr>
        <w:suppressAutoHyphens/>
        <w:spacing w:after="0" w:line="240" w:lineRule="auto"/>
        <w:rPr>
          <w:lang w:val="sr-Latn-ME"/>
        </w:rPr>
      </w:pPr>
    </w:p>
    <w:p w:rsidR="00D833AB" w:rsidRPr="00D833AB" w:rsidRDefault="00D833AB" w:rsidP="00D833AB">
      <w:pPr>
        <w:autoSpaceDE w:val="0"/>
        <w:autoSpaceDN w:val="0"/>
        <w:adjustRightInd w:val="0"/>
        <w:spacing w:after="0" w:line="240" w:lineRule="auto"/>
        <w:ind w:right="-360"/>
        <w:jc w:val="both"/>
        <w:rPr>
          <w:rFonts w:ascii="Arial Narrow" w:hAnsi="Arial Narrow" w:cs="Arial"/>
          <w:sz w:val="26"/>
          <w:szCs w:val="26"/>
          <w:lang w:val="sr-Latn-ME" w:eastAsia="en-GB"/>
        </w:rPr>
      </w:pPr>
    </w:p>
    <w:p w:rsidR="00D833AB" w:rsidRPr="00D833AB" w:rsidRDefault="00D833AB" w:rsidP="00D833AB">
      <w:pPr>
        <w:spacing w:after="0" w:line="240" w:lineRule="auto"/>
        <w:jc w:val="both"/>
        <w:rPr>
          <w:rFonts w:ascii="Arial Narrow" w:hAnsi="Arial Narrow"/>
          <w:sz w:val="26"/>
          <w:szCs w:val="26"/>
          <w:lang w:val="sr-Latn-ME"/>
        </w:rPr>
      </w:pPr>
    </w:p>
    <w:p w:rsidR="002552F8" w:rsidRPr="00D833AB" w:rsidRDefault="002552F8" w:rsidP="00D833AB"/>
    <w:sectPr w:rsidR="002552F8" w:rsidRPr="00D833AB" w:rsidSect="00444CE6">
      <w:footerReference w:type="default" r:id="rId12"/>
      <w:pgSz w:w="11906" w:h="16838"/>
      <w:pgMar w:top="1260" w:right="1196" w:bottom="900" w:left="189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AFE" w:rsidRDefault="00813AFE" w:rsidP="008D0D88">
      <w:pPr>
        <w:spacing w:after="0" w:line="240" w:lineRule="auto"/>
      </w:pPr>
      <w:r>
        <w:separator/>
      </w:r>
    </w:p>
  </w:endnote>
  <w:endnote w:type="continuationSeparator" w:id="0">
    <w:p w:rsidR="00813AFE" w:rsidRDefault="00813AFE" w:rsidP="008D0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8557313"/>
      <w:docPartObj>
        <w:docPartGallery w:val="Page Numbers (Bottom of Page)"/>
        <w:docPartUnique/>
      </w:docPartObj>
    </w:sdtPr>
    <w:sdtEndPr>
      <w:rPr>
        <w:noProof/>
      </w:rPr>
    </w:sdtEndPr>
    <w:sdtContent>
      <w:p w:rsidR="00D833AB" w:rsidRDefault="00D833AB">
        <w:pPr>
          <w:pStyle w:val="Footer"/>
          <w:jc w:val="right"/>
        </w:pPr>
        <w:r>
          <w:fldChar w:fldCharType="begin"/>
        </w:r>
        <w:r>
          <w:instrText xml:space="preserve"> PAGE   \* MERGEFORMAT </w:instrText>
        </w:r>
        <w:r>
          <w:fldChar w:fldCharType="separate"/>
        </w:r>
        <w:r w:rsidR="000E747D">
          <w:rPr>
            <w:noProof/>
          </w:rPr>
          <w:t>34</w:t>
        </w:r>
        <w:r>
          <w:rPr>
            <w:noProof/>
          </w:rPr>
          <w:fldChar w:fldCharType="end"/>
        </w:r>
      </w:p>
    </w:sdtContent>
  </w:sdt>
  <w:p w:rsidR="00D833AB" w:rsidRDefault="00D833A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AFE" w:rsidRDefault="00813AFE" w:rsidP="008D0D88">
      <w:pPr>
        <w:spacing w:after="0" w:line="240" w:lineRule="auto"/>
      </w:pPr>
      <w:r>
        <w:separator/>
      </w:r>
    </w:p>
  </w:footnote>
  <w:footnote w:type="continuationSeparator" w:id="0">
    <w:p w:rsidR="00813AFE" w:rsidRDefault="00813AFE" w:rsidP="008D0D88">
      <w:pPr>
        <w:spacing w:after="0" w:line="240" w:lineRule="auto"/>
      </w:pPr>
      <w:r>
        <w:continuationSeparator/>
      </w:r>
    </w:p>
  </w:footnote>
  <w:footnote w:id="1">
    <w:p w:rsidR="00D833AB" w:rsidRPr="00DA4962" w:rsidRDefault="00D833AB" w:rsidP="00D833AB">
      <w:pPr>
        <w:pStyle w:val="FootnoteText"/>
        <w:rPr>
          <w:rFonts w:ascii="Arial Narrow" w:hAnsi="Arial Narrow"/>
          <w:lang w:val="sr-Latn-RS"/>
        </w:rPr>
      </w:pPr>
      <w:r w:rsidRPr="00DA4962">
        <w:rPr>
          <w:rStyle w:val="FootnoteReference"/>
          <w:rFonts w:ascii="Arial Narrow" w:hAnsi="Arial Narrow"/>
        </w:rPr>
        <w:footnoteRef/>
      </w:r>
      <w:r w:rsidRPr="00DA4962">
        <w:rPr>
          <w:rFonts w:ascii="Arial Narrow" w:hAnsi="Arial Narrow"/>
        </w:rPr>
        <w:t xml:space="preserve"> </w:t>
      </w:r>
      <w:r w:rsidRPr="00DA4962">
        <w:rPr>
          <w:rFonts w:ascii="Arial Narrow" w:hAnsi="Arial Narrow"/>
          <w:lang w:val="sr-Latn-RS"/>
        </w:rPr>
        <w:t>Odluka Ustavnog suda Crne Gore, U-III br. 725/22, od 16.</w:t>
      </w:r>
      <w:r>
        <w:rPr>
          <w:rFonts w:ascii="Arial Narrow" w:hAnsi="Arial Narrow"/>
          <w:lang w:val="sr-Latn-RS"/>
        </w:rPr>
        <w:t xml:space="preserve"> </w:t>
      </w:r>
      <w:r w:rsidRPr="00DA4962">
        <w:rPr>
          <w:rFonts w:ascii="Arial Narrow" w:hAnsi="Arial Narrow"/>
          <w:lang w:val="sr-Latn-RS"/>
        </w:rPr>
        <w:t>juna 2025. godine.</w:t>
      </w:r>
    </w:p>
  </w:footnote>
  <w:footnote w:id="2">
    <w:p w:rsidR="00D833AB" w:rsidRPr="00DA4962" w:rsidRDefault="00D833AB" w:rsidP="00D833AB">
      <w:pPr>
        <w:pStyle w:val="FootnoteText"/>
        <w:rPr>
          <w:rFonts w:ascii="Arial Narrow" w:hAnsi="Arial Narrow"/>
          <w:lang w:val="sr-Latn-ME"/>
        </w:rPr>
      </w:pPr>
      <w:r w:rsidRPr="00DA4962">
        <w:rPr>
          <w:rStyle w:val="FootnoteReference"/>
          <w:rFonts w:ascii="Arial Narrow" w:hAnsi="Arial Narrow"/>
        </w:rPr>
        <w:footnoteRef/>
      </w:r>
      <w:r w:rsidRPr="00DA4962">
        <w:rPr>
          <w:rFonts w:ascii="Arial Narrow" w:hAnsi="Arial Narrow"/>
        </w:rPr>
        <w:t xml:space="preserve"> </w:t>
      </w:r>
      <w:r w:rsidRPr="00060090">
        <w:rPr>
          <w:rFonts w:ascii="Arial Narrow" w:hAnsi="Arial Narrow" w:cs="Arial"/>
          <w:i/>
          <w:lang w:val="sr-Latn-ME"/>
        </w:rPr>
        <w:t>Niemietz protiv Nemačke</w:t>
      </w:r>
      <w:r w:rsidRPr="00DA4962">
        <w:rPr>
          <w:rFonts w:ascii="Arial Narrow" w:hAnsi="Arial Narrow" w:cs="Arial"/>
          <w:lang w:val="sr-Latn-ME"/>
        </w:rPr>
        <w:t>, op.cit. stav 29.</w:t>
      </w:r>
    </w:p>
  </w:footnote>
  <w:footnote w:id="3">
    <w:p w:rsidR="00D833AB" w:rsidRPr="00DA4962" w:rsidRDefault="00D833AB" w:rsidP="00D833AB">
      <w:pPr>
        <w:pStyle w:val="FootnoteText"/>
        <w:rPr>
          <w:rFonts w:ascii="Arial Narrow" w:hAnsi="Arial Narrow"/>
          <w:lang w:val="sr-Latn-ME"/>
        </w:rPr>
      </w:pPr>
      <w:r w:rsidRPr="00DA4962">
        <w:rPr>
          <w:rStyle w:val="FootnoteReference"/>
          <w:rFonts w:ascii="Arial Narrow" w:hAnsi="Arial Narrow"/>
        </w:rPr>
        <w:footnoteRef/>
      </w:r>
      <w:r w:rsidRPr="00DA4962">
        <w:rPr>
          <w:rFonts w:ascii="Arial Narrow" w:hAnsi="Arial Narrow"/>
        </w:rPr>
        <w:t xml:space="preserve"> </w:t>
      </w:r>
      <w:r w:rsidRPr="00060090">
        <w:rPr>
          <w:rFonts w:ascii="Arial Narrow" w:hAnsi="Arial Narrow" w:cs="Arial"/>
          <w:i/>
          <w:lang w:val="sr-Latn-ME"/>
        </w:rPr>
        <w:t>Mółka protiv Poljske</w:t>
      </w:r>
      <w:r w:rsidRPr="00DA4962">
        <w:rPr>
          <w:rFonts w:ascii="Arial Narrow" w:hAnsi="Arial Narrow" w:cs="Arial"/>
          <w:lang w:val="sr-Latn-ME"/>
        </w:rPr>
        <w:t>, predstavka</w:t>
      </w:r>
      <w:r>
        <w:rPr>
          <w:rFonts w:ascii="Arial Narrow" w:hAnsi="Arial Narrow" w:cs="Arial"/>
          <w:lang w:val="sr-Latn-ME"/>
        </w:rPr>
        <w:t xml:space="preserve"> </w:t>
      </w:r>
      <w:r w:rsidRPr="00DA4962">
        <w:rPr>
          <w:rFonts w:ascii="Arial Narrow" w:hAnsi="Arial Narrow" w:cs="Arial"/>
          <w:lang w:val="sr-Latn-ME"/>
        </w:rPr>
        <w:t>br</w:t>
      </w:r>
      <w:r>
        <w:rPr>
          <w:rFonts w:ascii="Arial Narrow" w:hAnsi="Arial Narrow" w:cs="Arial"/>
          <w:lang w:val="sr-Latn-ME"/>
        </w:rPr>
        <w:t>oj</w:t>
      </w:r>
      <w:r w:rsidRPr="00DA4962">
        <w:rPr>
          <w:rFonts w:ascii="Arial Narrow" w:hAnsi="Arial Narrow" w:cs="Arial"/>
          <w:lang w:val="sr-Latn-ME"/>
        </w:rPr>
        <w:t xml:space="preserve">  56550/00, presuda od 11. aprila 2006.</w:t>
      </w:r>
      <w:r>
        <w:rPr>
          <w:rFonts w:ascii="Arial Narrow" w:hAnsi="Arial Narrow" w:cs="Arial"/>
          <w:lang w:val="sr-Latn-ME"/>
        </w:rPr>
        <w:t xml:space="preserve"> godine</w:t>
      </w:r>
    </w:p>
  </w:footnote>
  <w:footnote w:id="4">
    <w:p w:rsidR="00D833AB" w:rsidRPr="00DA4962" w:rsidRDefault="00D833AB" w:rsidP="00D833AB">
      <w:pPr>
        <w:pStyle w:val="FootnoteText"/>
        <w:rPr>
          <w:rFonts w:ascii="Arial Narrow" w:hAnsi="Arial Narrow"/>
          <w:lang w:val="sr-Latn-RS"/>
        </w:rPr>
      </w:pPr>
      <w:r w:rsidRPr="00DA4962">
        <w:rPr>
          <w:rStyle w:val="FootnoteReference"/>
          <w:rFonts w:ascii="Arial Narrow" w:hAnsi="Arial Narrow"/>
        </w:rPr>
        <w:footnoteRef/>
      </w:r>
      <w:r w:rsidRPr="00DA4962">
        <w:rPr>
          <w:rFonts w:ascii="Arial Narrow" w:hAnsi="Arial Narrow"/>
        </w:rPr>
        <w:t xml:space="preserve"> </w:t>
      </w:r>
      <w:r w:rsidRPr="00060090">
        <w:rPr>
          <w:rFonts w:ascii="Arial Narrow" w:eastAsia="Times New Roman" w:hAnsi="Arial Narrow"/>
          <w:i/>
        </w:rPr>
        <w:t>Denisov protiv Ukrajine</w:t>
      </w:r>
      <w:r w:rsidRPr="00DA4962">
        <w:rPr>
          <w:rFonts w:ascii="Arial Narrow" w:hAnsi="Arial Narrow"/>
        </w:rPr>
        <w:t>, predstavka br</w:t>
      </w:r>
      <w:r>
        <w:rPr>
          <w:rFonts w:ascii="Arial Narrow" w:hAnsi="Arial Narrow"/>
        </w:rPr>
        <w:t>oj</w:t>
      </w:r>
      <w:r w:rsidRPr="00DA4962">
        <w:rPr>
          <w:rFonts w:ascii="Arial Narrow" w:hAnsi="Arial Narrow"/>
        </w:rPr>
        <w:t xml:space="preserve"> 76639/11, presuda od 25. septembra 2018. godine, stav 95 i </w:t>
      </w:r>
      <w:r w:rsidRPr="00DA4962">
        <w:rPr>
          <w:rFonts w:ascii="Arial Narrow" w:eastAsia="Times New Roman" w:hAnsi="Arial Narrow"/>
        </w:rPr>
        <w:t>Remetin protiv Hrvatske</w:t>
      </w:r>
      <w:r w:rsidRPr="00DA4962">
        <w:rPr>
          <w:rFonts w:ascii="Arial Narrow" w:hAnsi="Arial Narrow"/>
        </w:rPr>
        <w:t>, predstavka br</w:t>
      </w:r>
      <w:r>
        <w:rPr>
          <w:rFonts w:ascii="Arial Narrow" w:hAnsi="Arial Narrow"/>
        </w:rPr>
        <w:t xml:space="preserve">oj </w:t>
      </w:r>
      <w:r w:rsidRPr="00DA4962">
        <w:rPr>
          <w:rFonts w:ascii="Arial Narrow" w:hAnsi="Arial Narrow"/>
        </w:rPr>
        <w:t>29525/10, presuda od 11. decembra 2012. godine, stav 90.</w:t>
      </w:r>
    </w:p>
  </w:footnote>
  <w:footnote w:id="5">
    <w:p w:rsidR="00D833AB" w:rsidRPr="00DA4962" w:rsidRDefault="00D833AB" w:rsidP="00D833AB">
      <w:pPr>
        <w:pStyle w:val="FootnoteText"/>
        <w:rPr>
          <w:rFonts w:ascii="Arial Narrow" w:hAnsi="Arial Narrow"/>
          <w:lang w:val="sr-Latn-RS"/>
        </w:rPr>
      </w:pPr>
      <w:r w:rsidRPr="00DA4962">
        <w:rPr>
          <w:rStyle w:val="FootnoteReference"/>
          <w:rFonts w:ascii="Arial Narrow" w:hAnsi="Arial Narrow"/>
        </w:rPr>
        <w:footnoteRef/>
      </w:r>
      <w:r w:rsidRPr="00DA4962">
        <w:rPr>
          <w:rFonts w:ascii="Arial Narrow" w:hAnsi="Arial Narrow"/>
        </w:rPr>
        <w:t xml:space="preserve"> </w:t>
      </w:r>
      <w:r w:rsidRPr="00060090">
        <w:rPr>
          <w:rFonts w:ascii="Arial Narrow" w:eastAsia="Times New Roman" w:hAnsi="Arial Narrow"/>
          <w:i/>
        </w:rPr>
        <w:t>N.Š. protiv Hrvatske</w:t>
      </w:r>
      <w:r w:rsidRPr="00DA4962">
        <w:rPr>
          <w:rFonts w:ascii="Arial Narrow" w:hAnsi="Arial Narrow"/>
        </w:rPr>
        <w:t>, predstavka br</w:t>
      </w:r>
      <w:r>
        <w:rPr>
          <w:rFonts w:ascii="Arial Narrow" w:hAnsi="Arial Narrow"/>
        </w:rPr>
        <w:t>oj</w:t>
      </w:r>
      <w:r w:rsidRPr="00DA4962">
        <w:rPr>
          <w:rFonts w:ascii="Arial Narrow" w:hAnsi="Arial Narrow"/>
        </w:rPr>
        <w:t xml:space="preserve"> 36908/13, presuda od 10. septembra 2020. godine, stav 95.</w:t>
      </w:r>
    </w:p>
  </w:footnote>
  <w:footnote w:id="6">
    <w:p w:rsidR="00D833AB" w:rsidRPr="00DA4962" w:rsidRDefault="00D833AB" w:rsidP="00D833AB">
      <w:pPr>
        <w:pStyle w:val="FootnoteText"/>
        <w:rPr>
          <w:rFonts w:ascii="Arial Narrow" w:hAnsi="Arial Narrow"/>
          <w:lang w:val="sr-Latn-RS"/>
        </w:rPr>
      </w:pPr>
      <w:r w:rsidRPr="00DA4962">
        <w:rPr>
          <w:rStyle w:val="FootnoteReference"/>
          <w:rFonts w:ascii="Arial Narrow" w:hAnsi="Arial Narrow"/>
        </w:rPr>
        <w:footnoteRef/>
      </w:r>
      <w:r w:rsidRPr="00DA4962">
        <w:rPr>
          <w:rFonts w:ascii="Arial Narrow" w:hAnsi="Arial Narrow"/>
        </w:rPr>
        <w:t xml:space="preserve"> </w:t>
      </w:r>
      <w:r w:rsidRPr="00060090">
        <w:rPr>
          <w:rFonts w:ascii="Arial Narrow" w:eastAsia="Times New Roman" w:hAnsi="Arial Narrow"/>
          <w:i/>
        </w:rPr>
        <w:t>Beizaras i Levickas protiv Litvanije</w:t>
      </w:r>
      <w:r w:rsidRPr="00DA4962">
        <w:rPr>
          <w:rFonts w:ascii="Arial Narrow" w:hAnsi="Arial Narrow"/>
        </w:rPr>
        <w:t>, predstavka br</w:t>
      </w:r>
      <w:r>
        <w:rPr>
          <w:rFonts w:ascii="Arial Narrow" w:hAnsi="Arial Narrow"/>
        </w:rPr>
        <w:t>oj</w:t>
      </w:r>
      <w:r w:rsidRPr="00DA4962">
        <w:rPr>
          <w:rFonts w:ascii="Arial Narrow" w:hAnsi="Arial Narrow"/>
        </w:rPr>
        <w:t xml:space="preserve"> 41288/15, presuda od 14. januara 2020. godine, stav 109.</w:t>
      </w:r>
    </w:p>
  </w:footnote>
  <w:footnote w:id="7">
    <w:p w:rsidR="00D833AB" w:rsidRPr="00DA4962" w:rsidRDefault="00D833AB" w:rsidP="00D833AB">
      <w:pPr>
        <w:pStyle w:val="FootnoteText"/>
        <w:rPr>
          <w:rFonts w:ascii="Arial Narrow" w:hAnsi="Arial Narrow"/>
          <w:lang w:val="sr-Latn-RS"/>
        </w:rPr>
      </w:pPr>
      <w:r w:rsidRPr="00DA4962">
        <w:rPr>
          <w:rStyle w:val="FootnoteReference"/>
          <w:rFonts w:ascii="Arial Narrow" w:hAnsi="Arial Narrow"/>
        </w:rPr>
        <w:footnoteRef/>
      </w:r>
      <w:r w:rsidRPr="00DA4962">
        <w:rPr>
          <w:rFonts w:ascii="Arial Narrow" w:hAnsi="Arial Narrow"/>
        </w:rPr>
        <w:t xml:space="preserve"> </w:t>
      </w:r>
      <w:r w:rsidRPr="00060090">
        <w:rPr>
          <w:rFonts w:ascii="Arial Narrow" w:eastAsia="Times New Roman" w:hAnsi="Arial Narrow"/>
          <w:i/>
        </w:rPr>
        <w:t>Nicolae Virgiliu Tănase protiv Rumunije</w:t>
      </w:r>
      <w:r w:rsidRPr="00DA4962">
        <w:rPr>
          <w:rFonts w:ascii="Arial Narrow" w:hAnsi="Arial Narrow"/>
        </w:rPr>
        <w:t>, predstavka br</w:t>
      </w:r>
      <w:r>
        <w:rPr>
          <w:rFonts w:ascii="Arial Narrow" w:hAnsi="Arial Narrow"/>
        </w:rPr>
        <w:t>oj</w:t>
      </w:r>
      <w:r w:rsidRPr="00DA4962">
        <w:rPr>
          <w:rFonts w:ascii="Arial Narrow" w:hAnsi="Arial Narrow"/>
        </w:rPr>
        <w:t xml:space="preserve"> 41720/13, presuda od 25. juna 2019. godine, stav 128.</w:t>
      </w:r>
    </w:p>
  </w:footnote>
  <w:footnote w:id="8">
    <w:p w:rsidR="00D833AB" w:rsidRPr="00DA4962" w:rsidRDefault="00D833AB" w:rsidP="00D833AB">
      <w:pPr>
        <w:pStyle w:val="FootnoteText"/>
        <w:rPr>
          <w:rFonts w:ascii="Arial Narrow" w:hAnsi="Arial Narrow"/>
          <w:lang w:val="sr-Latn-RS"/>
        </w:rPr>
      </w:pPr>
      <w:r w:rsidRPr="00DA4962">
        <w:rPr>
          <w:rStyle w:val="FootnoteReference"/>
          <w:rFonts w:ascii="Arial Narrow" w:hAnsi="Arial Narrow"/>
        </w:rPr>
        <w:footnoteRef/>
      </w:r>
      <w:r w:rsidRPr="00DA4962">
        <w:rPr>
          <w:rFonts w:ascii="Arial Narrow" w:hAnsi="Arial Narrow"/>
        </w:rPr>
        <w:t xml:space="preserve"> Predstavka br</w:t>
      </w:r>
      <w:r>
        <w:rPr>
          <w:rFonts w:ascii="Arial Narrow" w:hAnsi="Arial Narrow"/>
        </w:rPr>
        <w:t>oj</w:t>
      </w:r>
      <w:r w:rsidRPr="00DA4962">
        <w:rPr>
          <w:rFonts w:ascii="Arial Narrow" w:hAnsi="Arial Narrow"/>
        </w:rPr>
        <w:t xml:space="preserve"> 31549/18, presuda od 9. novembra 2021. godine.</w:t>
      </w:r>
    </w:p>
  </w:footnote>
  <w:footnote w:id="9">
    <w:p w:rsidR="00D833AB" w:rsidRPr="00DA4962" w:rsidRDefault="00D833AB" w:rsidP="00D833AB">
      <w:pPr>
        <w:spacing w:after="0"/>
        <w:jc w:val="both"/>
        <w:rPr>
          <w:rFonts w:ascii="Arial Narrow" w:hAnsi="Arial Narrow"/>
          <w:sz w:val="20"/>
          <w:szCs w:val="20"/>
        </w:rPr>
      </w:pPr>
      <w:r w:rsidRPr="00DA4962">
        <w:rPr>
          <w:rStyle w:val="FootnoteReference"/>
          <w:rFonts w:ascii="Arial Narrow" w:hAnsi="Arial Narrow"/>
          <w:sz w:val="20"/>
          <w:szCs w:val="20"/>
        </w:rPr>
        <w:footnoteRef/>
      </w:r>
      <w:r w:rsidRPr="00DA4962">
        <w:rPr>
          <w:rFonts w:ascii="Arial Narrow" w:hAnsi="Arial Narrow"/>
          <w:sz w:val="20"/>
          <w:szCs w:val="20"/>
        </w:rPr>
        <w:t xml:space="preserve"> </w:t>
      </w:r>
      <w:r w:rsidRPr="00060090">
        <w:rPr>
          <w:rFonts w:ascii="Arial Narrow" w:hAnsi="Arial Narrow"/>
          <w:i/>
          <w:sz w:val="20"/>
          <w:szCs w:val="20"/>
        </w:rPr>
        <w:t>S</w:t>
      </w:r>
      <w:r w:rsidRPr="00060090">
        <w:rPr>
          <w:rFonts w:ascii="Calibri" w:hAnsi="Calibri" w:cs="Calibri"/>
          <w:i/>
          <w:sz w:val="20"/>
          <w:szCs w:val="20"/>
        </w:rPr>
        <w:t>ӧ</w:t>
      </w:r>
      <w:r w:rsidRPr="00060090">
        <w:rPr>
          <w:rFonts w:ascii="Arial Narrow" w:hAnsi="Arial Narrow"/>
          <w:i/>
          <w:sz w:val="20"/>
          <w:szCs w:val="20"/>
        </w:rPr>
        <w:t xml:space="preserve">derman protiv </w:t>
      </w:r>
      <w:r w:rsidRPr="00060090">
        <w:rPr>
          <w:rFonts w:ascii="Arial Narrow" w:hAnsi="Arial Narrow" w:cs="Arial Narrow"/>
          <w:i/>
          <w:sz w:val="20"/>
          <w:szCs w:val="20"/>
        </w:rPr>
        <w:t>Š</w:t>
      </w:r>
      <w:r w:rsidRPr="00060090">
        <w:rPr>
          <w:rFonts w:ascii="Arial Narrow" w:hAnsi="Arial Narrow"/>
          <w:i/>
          <w:sz w:val="20"/>
          <w:szCs w:val="20"/>
        </w:rPr>
        <w:t xml:space="preserve">vedske, </w:t>
      </w:r>
      <w:r w:rsidRPr="00DA4962">
        <w:rPr>
          <w:rFonts w:ascii="Arial Narrow" w:hAnsi="Arial Narrow"/>
          <w:sz w:val="20"/>
          <w:szCs w:val="20"/>
        </w:rPr>
        <w:t>predstvka, br</w:t>
      </w:r>
      <w:r>
        <w:rPr>
          <w:rFonts w:ascii="Arial Narrow" w:hAnsi="Arial Narrow"/>
          <w:sz w:val="20"/>
          <w:szCs w:val="20"/>
        </w:rPr>
        <w:t>oj</w:t>
      </w:r>
      <w:r w:rsidRPr="00DA4962">
        <w:rPr>
          <w:rFonts w:ascii="Arial Narrow" w:hAnsi="Arial Narrow"/>
          <w:sz w:val="20"/>
          <w:szCs w:val="20"/>
        </w:rPr>
        <w:t xml:space="preserve"> 5786/08, ECHR 2013, stav 78. </w:t>
      </w:r>
    </w:p>
  </w:footnote>
  <w:footnote w:id="10">
    <w:p w:rsidR="00D833AB" w:rsidRPr="00DA4962" w:rsidRDefault="00D833AB" w:rsidP="00D833AB">
      <w:pPr>
        <w:pStyle w:val="FootnoteText"/>
        <w:rPr>
          <w:rFonts w:ascii="Arial Narrow" w:hAnsi="Arial Narrow"/>
          <w:lang w:val="sr-Latn-RS"/>
        </w:rPr>
      </w:pPr>
      <w:r w:rsidRPr="00DA4962">
        <w:rPr>
          <w:rStyle w:val="FootnoteReference"/>
          <w:rFonts w:ascii="Arial Narrow" w:hAnsi="Arial Narrow"/>
        </w:rPr>
        <w:footnoteRef/>
      </w:r>
      <w:r w:rsidRPr="00DA4962">
        <w:rPr>
          <w:rFonts w:ascii="Arial Narrow" w:hAnsi="Arial Narrow"/>
        </w:rPr>
        <w:t xml:space="preserve"> Demir i Bayka</w:t>
      </w:r>
      <w:r>
        <w:rPr>
          <w:rFonts w:ascii="Arial Narrow" w:hAnsi="Arial Narrow"/>
        </w:rPr>
        <w:t>ra protiv Turske, predstvaka broj</w:t>
      </w:r>
      <w:r w:rsidRPr="00DA4962">
        <w:rPr>
          <w:rFonts w:ascii="Arial Narrow" w:hAnsi="Arial Narrow"/>
        </w:rPr>
        <w:t xml:space="preserve"> 34503/97, ECHR 2008, stav 111.</w:t>
      </w:r>
    </w:p>
  </w:footnote>
  <w:footnote w:id="11">
    <w:p w:rsidR="00D833AB" w:rsidRPr="00DA4962" w:rsidRDefault="00D833AB" w:rsidP="00D833AB">
      <w:pPr>
        <w:pStyle w:val="FootnoteText"/>
        <w:rPr>
          <w:rFonts w:ascii="Arial Narrow" w:hAnsi="Arial Narrow"/>
          <w:lang w:val="sr-Latn-RS"/>
        </w:rPr>
      </w:pPr>
      <w:r w:rsidRPr="00DA4962">
        <w:rPr>
          <w:rStyle w:val="FootnoteReference"/>
          <w:rFonts w:ascii="Arial Narrow" w:hAnsi="Arial Narrow"/>
        </w:rPr>
        <w:footnoteRef/>
      </w:r>
      <w:r w:rsidRPr="00DA4962">
        <w:rPr>
          <w:rFonts w:ascii="Arial Narrow" w:hAnsi="Arial Narrow"/>
        </w:rPr>
        <w:t xml:space="preserve"> Burlya i drugi</w:t>
      </w:r>
      <w:r>
        <w:rPr>
          <w:rFonts w:ascii="Arial Narrow" w:hAnsi="Arial Narrow"/>
        </w:rPr>
        <w:t xml:space="preserve"> protiv Ukrajine, predstavka broj</w:t>
      </w:r>
      <w:r w:rsidRPr="00DA4962">
        <w:rPr>
          <w:rFonts w:ascii="Arial Narrow" w:hAnsi="Arial Narrow"/>
        </w:rPr>
        <w:t xml:space="preserve"> 3289/10, presuda od 6. novembra 2018. godine, stav 162.</w:t>
      </w:r>
    </w:p>
  </w:footnote>
  <w:footnote w:id="12">
    <w:p w:rsidR="00D833AB" w:rsidRPr="00DA4962" w:rsidRDefault="00D833AB" w:rsidP="00D833AB">
      <w:pPr>
        <w:spacing w:after="0" w:line="240" w:lineRule="auto"/>
        <w:jc w:val="both"/>
        <w:rPr>
          <w:rFonts w:ascii="Arial Narrow" w:hAnsi="Arial Narrow"/>
          <w:sz w:val="20"/>
          <w:szCs w:val="20"/>
        </w:rPr>
      </w:pPr>
      <w:r w:rsidRPr="00DA4962">
        <w:rPr>
          <w:rStyle w:val="FootnoteReference"/>
          <w:rFonts w:ascii="Arial Narrow" w:hAnsi="Arial Narrow"/>
          <w:sz w:val="20"/>
          <w:szCs w:val="20"/>
        </w:rPr>
        <w:footnoteRef/>
      </w:r>
      <w:r w:rsidRPr="00DA4962">
        <w:rPr>
          <w:rFonts w:ascii="Arial Narrow" w:hAnsi="Arial Narrow"/>
          <w:sz w:val="20"/>
          <w:szCs w:val="20"/>
        </w:rPr>
        <w:t xml:space="preserve"> Isaković Vidović protiv Srbije, predstvka br</w:t>
      </w:r>
      <w:r>
        <w:rPr>
          <w:rFonts w:ascii="Arial Narrow" w:hAnsi="Arial Narrow"/>
          <w:sz w:val="20"/>
          <w:szCs w:val="20"/>
        </w:rPr>
        <w:t>oj</w:t>
      </w:r>
      <w:r w:rsidRPr="00DA4962">
        <w:rPr>
          <w:rFonts w:ascii="Arial Narrow" w:hAnsi="Arial Narrow"/>
          <w:sz w:val="20"/>
          <w:szCs w:val="20"/>
        </w:rPr>
        <w:t xml:space="preserve"> 41694/07, presuda 1. jula 2014. godine, stav 59.</w:t>
      </w:r>
    </w:p>
  </w:footnote>
  <w:footnote w:id="13">
    <w:p w:rsidR="00D833AB" w:rsidRPr="00DA4962" w:rsidRDefault="00D833AB" w:rsidP="00D833AB">
      <w:pPr>
        <w:autoSpaceDE w:val="0"/>
        <w:autoSpaceDN w:val="0"/>
        <w:adjustRightInd w:val="0"/>
        <w:spacing w:after="0" w:line="240" w:lineRule="auto"/>
        <w:jc w:val="both"/>
        <w:rPr>
          <w:rFonts w:ascii="Arial Narrow" w:hAnsi="Arial Narrow" w:cs="Arial"/>
          <w:color w:val="000000"/>
          <w:sz w:val="20"/>
          <w:szCs w:val="20"/>
        </w:rPr>
      </w:pPr>
      <w:r w:rsidRPr="00DA4962">
        <w:rPr>
          <w:rStyle w:val="FootnoteReference"/>
          <w:rFonts w:ascii="Arial Narrow" w:hAnsi="Arial Narrow"/>
          <w:sz w:val="20"/>
          <w:szCs w:val="20"/>
        </w:rPr>
        <w:footnoteRef/>
      </w:r>
      <w:r w:rsidRPr="00DA4962">
        <w:rPr>
          <w:rFonts w:ascii="Arial Narrow" w:hAnsi="Arial Narrow"/>
          <w:sz w:val="20"/>
          <w:szCs w:val="20"/>
        </w:rPr>
        <w:t xml:space="preserve"> </w:t>
      </w:r>
      <w:r w:rsidRPr="00DA4962">
        <w:rPr>
          <w:rFonts w:ascii="Arial Narrow" w:hAnsi="Arial Narrow" w:cs="Arial"/>
          <w:iCs/>
          <w:color w:val="000000"/>
          <w:sz w:val="20"/>
          <w:szCs w:val="20"/>
        </w:rPr>
        <w:t>Osman protiv Ujedinjenog Kraljevstva,</w:t>
      </w:r>
      <w:r w:rsidRPr="00DA4962">
        <w:rPr>
          <w:rFonts w:ascii="Arial Narrow" w:hAnsi="Arial Narrow" w:cs="Arial"/>
          <w:color w:val="000000"/>
          <w:sz w:val="20"/>
          <w:szCs w:val="20"/>
        </w:rPr>
        <w:t xml:space="preserve"> predstvka br</w:t>
      </w:r>
      <w:r>
        <w:rPr>
          <w:rFonts w:ascii="Arial Narrow" w:hAnsi="Arial Narrow" w:cs="Arial"/>
          <w:color w:val="000000"/>
          <w:sz w:val="20"/>
          <w:szCs w:val="20"/>
        </w:rPr>
        <w:t>oj</w:t>
      </w:r>
      <w:r w:rsidRPr="00DA4962">
        <w:rPr>
          <w:rFonts w:ascii="Arial Narrow" w:hAnsi="Arial Narrow" w:cs="Arial"/>
          <w:color w:val="000000"/>
          <w:sz w:val="20"/>
          <w:szCs w:val="20"/>
        </w:rPr>
        <w:t xml:space="preserve"> 87/1997/871/1083, presuda od 28. oktobra 1998.; </w:t>
      </w:r>
      <w:r w:rsidRPr="00DA4962">
        <w:rPr>
          <w:rFonts w:ascii="Arial Narrow" w:hAnsi="Arial Narrow" w:cs="Arial"/>
          <w:iCs/>
          <w:color w:val="000000"/>
          <w:sz w:val="20"/>
          <w:szCs w:val="20"/>
        </w:rPr>
        <w:t>Sandra Janković protiv Hrvatske,</w:t>
      </w:r>
      <w:r w:rsidRPr="00DA4962">
        <w:rPr>
          <w:rFonts w:ascii="Arial Narrow" w:hAnsi="Arial Narrow" w:cs="Arial"/>
          <w:color w:val="000000"/>
          <w:sz w:val="20"/>
          <w:szCs w:val="20"/>
        </w:rPr>
        <w:t xml:space="preserve"> predstvka br</w:t>
      </w:r>
      <w:r>
        <w:rPr>
          <w:rFonts w:ascii="Arial Narrow" w:hAnsi="Arial Narrow" w:cs="Arial"/>
          <w:color w:val="000000"/>
          <w:sz w:val="20"/>
          <w:szCs w:val="20"/>
        </w:rPr>
        <w:t>oj</w:t>
      </w:r>
      <w:r w:rsidRPr="00DA4962">
        <w:rPr>
          <w:rFonts w:ascii="Arial Narrow" w:hAnsi="Arial Narrow" w:cs="Arial"/>
          <w:color w:val="000000"/>
          <w:sz w:val="20"/>
          <w:szCs w:val="20"/>
        </w:rPr>
        <w:t xml:space="preserve"> 38478/05, presuda od 5. marta 2009.; </w:t>
      </w:r>
      <w:r w:rsidRPr="00DA4962">
        <w:rPr>
          <w:rFonts w:ascii="Arial Narrow" w:hAnsi="Arial Narrow" w:cs="Arial"/>
          <w:iCs/>
          <w:color w:val="000000"/>
          <w:sz w:val="20"/>
          <w:szCs w:val="20"/>
        </w:rPr>
        <w:t>Đorđević protiv Hrvatske,</w:t>
      </w:r>
      <w:r>
        <w:rPr>
          <w:rFonts w:ascii="Arial Narrow" w:hAnsi="Arial Narrow" w:cs="Arial"/>
          <w:color w:val="000000"/>
          <w:sz w:val="20"/>
          <w:szCs w:val="20"/>
        </w:rPr>
        <w:t xml:space="preserve"> predstvka broj</w:t>
      </w:r>
      <w:r w:rsidRPr="00DA4962">
        <w:rPr>
          <w:rFonts w:ascii="Arial Narrow" w:hAnsi="Arial Narrow" w:cs="Arial"/>
          <w:color w:val="000000"/>
          <w:sz w:val="20"/>
          <w:szCs w:val="20"/>
        </w:rPr>
        <w:t xml:space="preserve"> 41526/</w:t>
      </w:r>
      <w:r>
        <w:rPr>
          <w:rFonts w:ascii="Arial Narrow" w:hAnsi="Arial Narrow" w:cs="Arial"/>
          <w:color w:val="000000"/>
          <w:sz w:val="20"/>
          <w:szCs w:val="20"/>
        </w:rPr>
        <w:t>10</w:t>
      </w:r>
      <w:r w:rsidRPr="00DA4962">
        <w:rPr>
          <w:rFonts w:ascii="Arial Narrow" w:hAnsi="Arial Narrow" w:cs="Arial"/>
          <w:color w:val="000000"/>
          <w:sz w:val="20"/>
          <w:szCs w:val="20"/>
        </w:rPr>
        <w:t>, presuda od 24. jula 2012.</w:t>
      </w:r>
      <w:r>
        <w:rPr>
          <w:rFonts w:ascii="Arial Narrow" w:hAnsi="Arial Narrow" w:cs="Arial"/>
          <w:color w:val="000000"/>
          <w:sz w:val="20"/>
          <w:szCs w:val="20"/>
        </w:rPr>
        <w:t>st. 137-</w:t>
      </w:r>
      <w:r w:rsidRPr="00DA4962">
        <w:rPr>
          <w:rFonts w:ascii="Arial Narrow" w:hAnsi="Arial Narrow" w:cs="Arial"/>
          <w:color w:val="000000"/>
          <w:sz w:val="20"/>
          <w:szCs w:val="20"/>
        </w:rPr>
        <w:t xml:space="preserve">140; </w:t>
      </w:r>
      <w:r w:rsidRPr="00DA4962">
        <w:rPr>
          <w:rFonts w:ascii="Arial Narrow" w:hAnsi="Arial Narrow" w:cs="Arial"/>
          <w:iCs/>
          <w:color w:val="000000"/>
          <w:sz w:val="20"/>
          <w:szCs w:val="20"/>
        </w:rPr>
        <w:t>A. protiv Hrvatske,</w:t>
      </w:r>
      <w:r w:rsidRPr="00DA4962">
        <w:rPr>
          <w:rFonts w:ascii="Arial Narrow" w:hAnsi="Arial Narrow" w:cs="Arial"/>
          <w:color w:val="000000"/>
          <w:sz w:val="20"/>
          <w:szCs w:val="20"/>
        </w:rPr>
        <w:t xml:space="preserve"> predstvka br</w:t>
      </w:r>
      <w:r>
        <w:rPr>
          <w:rFonts w:ascii="Arial Narrow" w:hAnsi="Arial Narrow" w:cs="Arial"/>
          <w:color w:val="000000"/>
          <w:sz w:val="20"/>
          <w:szCs w:val="20"/>
        </w:rPr>
        <w:t>oj</w:t>
      </w:r>
      <w:r w:rsidRPr="00DA4962">
        <w:rPr>
          <w:rFonts w:ascii="Arial Narrow" w:hAnsi="Arial Narrow" w:cs="Arial"/>
          <w:color w:val="000000"/>
          <w:sz w:val="20"/>
          <w:szCs w:val="20"/>
        </w:rPr>
        <w:t xml:space="preserve"> 55164/08, presuda od 14. oktobra 2010. godine. </w:t>
      </w:r>
    </w:p>
  </w:footnote>
  <w:footnote w:id="14">
    <w:p w:rsidR="00D833AB" w:rsidRPr="00DA4962" w:rsidRDefault="00D833AB" w:rsidP="00D833AB">
      <w:pPr>
        <w:spacing w:after="0" w:line="240" w:lineRule="auto"/>
        <w:jc w:val="both"/>
        <w:rPr>
          <w:rFonts w:ascii="Arial Narrow" w:hAnsi="Arial Narrow"/>
          <w:sz w:val="20"/>
          <w:szCs w:val="20"/>
        </w:rPr>
      </w:pPr>
      <w:r w:rsidRPr="00DA4962">
        <w:rPr>
          <w:rStyle w:val="FootnoteReference"/>
          <w:rFonts w:ascii="Arial Narrow" w:hAnsi="Arial Narrow"/>
          <w:sz w:val="20"/>
          <w:szCs w:val="20"/>
        </w:rPr>
        <w:footnoteRef/>
      </w:r>
      <w:r w:rsidRPr="00DA4962">
        <w:rPr>
          <w:rFonts w:ascii="Arial Narrow" w:hAnsi="Arial Narrow"/>
          <w:sz w:val="20"/>
          <w:szCs w:val="20"/>
        </w:rPr>
        <w:t xml:space="preserve"> X i Y protiv Holandije, presuda od 26. mart 1985. godine, st. 24 i 27, Serija A br. 91; S</w:t>
      </w:r>
      <w:r w:rsidRPr="00DA4962">
        <w:rPr>
          <w:rFonts w:ascii="Calibri" w:hAnsi="Calibri" w:cs="Calibri"/>
          <w:sz w:val="20"/>
          <w:szCs w:val="20"/>
        </w:rPr>
        <w:t>ӧ</w:t>
      </w:r>
      <w:r w:rsidRPr="00DA4962">
        <w:rPr>
          <w:rFonts w:ascii="Arial Narrow" w:hAnsi="Arial Narrow"/>
          <w:sz w:val="20"/>
          <w:szCs w:val="20"/>
        </w:rPr>
        <w:t xml:space="preserve">derman, </w:t>
      </w:r>
      <w:r w:rsidRPr="003A5D8C">
        <w:rPr>
          <w:rFonts w:ascii="Arial Narrow" w:hAnsi="Arial Narrow"/>
          <w:i/>
          <w:sz w:val="20"/>
          <w:szCs w:val="20"/>
        </w:rPr>
        <w:t>supra</w:t>
      </w:r>
      <w:r>
        <w:rPr>
          <w:rFonts w:ascii="Arial Narrow" w:hAnsi="Arial Narrow"/>
          <w:i/>
          <w:sz w:val="20"/>
          <w:szCs w:val="20"/>
        </w:rPr>
        <w:t>,</w:t>
      </w:r>
      <w:r w:rsidRPr="00DA4962">
        <w:rPr>
          <w:rFonts w:ascii="Arial Narrow" w:hAnsi="Arial Narrow"/>
          <w:sz w:val="20"/>
          <w:szCs w:val="20"/>
        </w:rPr>
        <w:t xml:space="preserve"> citirana, stav 85, Tolić protiv Hrvatske, predstvka br</w:t>
      </w:r>
      <w:r>
        <w:rPr>
          <w:rFonts w:ascii="Arial Narrow" w:hAnsi="Arial Narrow"/>
          <w:sz w:val="20"/>
          <w:szCs w:val="20"/>
        </w:rPr>
        <w:t>oj</w:t>
      </w:r>
      <w:r w:rsidRPr="00DA4962">
        <w:rPr>
          <w:rFonts w:ascii="Arial Narrow" w:hAnsi="Arial Narrow"/>
          <w:sz w:val="20"/>
          <w:szCs w:val="20"/>
        </w:rPr>
        <w:t xml:space="preserve"> 13482/15, presuda od 4. juna 2019. godine st. 94-95 i Noveski protiv Bivše Jugoslovenske Republike Makedonije (odl.), predst</w:t>
      </w:r>
      <w:r>
        <w:rPr>
          <w:rFonts w:ascii="Arial Narrow" w:hAnsi="Arial Narrow"/>
          <w:sz w:val="20"/>
          <w:szCs w:val="20"/>
        </w:rPr>
        <w:t>a</w:t>
      </w:r>
      <w:r w:rsidRPr="00DA4962">
        <w:rPr>
          <w:rFonts w:ascii="Arial Narrow" w:hAnsi="Arial Narrow"/>
          <w:sz w:val="20"/>
          <w:szCs w:val="20"/>
        </w:rPr>
        <w:t>vka br</w:t>
      </w:r>
      <w:r>
        <w:rPr>
          <w:rFonts w:ascii="Arial Narrow" w:hAnsi="Arial Narrow"/>
          <w:sz w:val="20"/>
          <w:szCs w:val="20"/>
        </w:rPr>
        <w:t>oj</w:t>
      </w:r>
      <w:r w:rsidRPr="00DA4962">
        <w:rPr>
          <w:rFonts w:ascii="Arial Narrow" w:hAnsi="Arial Narrow"/>
          <w:sz w:val="20"/>
          <w:szCs w:val="20"/>
        </w:rPr>
        <w:t xml:space="preserve"> 25163/08 i 2 druge, presuda od 13. septembra 2016. godine.</w:t>
      </w:r>
    </w:p>
  </w:footnote>
  <w:footnote w:id="15">
    <w:p w:rsidR="00D833AB" w:rsidRPr="00DA4962" w:rsidRDefault="00D833AB" w:rsidP="00D833AB">
      <w:pPr>
        <w:pStyle w:val="FootnoteText"/>
        <w:rPr>
          <w:rFonts w:ascii="Arial Narrow" w:hAnsi="Arial Narrow"/>
          <w:lang w:val="sr-Latn-RS"/>
        </w:rPr>
      </w:pPr>
      <w:r w:rsidRPr="00DA4962">
        <w:rPr>
          <w:rStyle w:val="FootnoteReference"/>
          <w:rFonts w:ascii="Arial Narrow" w:hAnsi="Arial Narrow"/>
        </w:rPr>
        <w:footnoteRef/>
      </w:r>
      <w:r w:rsidRPr="00DA4962">
        <w:rPr>
          <w:rFonts w:ascii="Arial Narrow" w:hAnsi="Arial Narrow"/>
        </w:rPr>
        <w:t xml:space="preserve"> </w:t>
      </w:r>
      <w:r w:rsidRPr="00D16E4E">
        <w:rPr>
          <w:rFonts w:ascii="Arial Narrow" w:hAnsi="Arial Narrow"/>
          <w:i/>
        </w:rPr>
        <w:t>M</w:t>
      </w:r>
      <w:r w:rsidRPr="00DA4962">
        <w:rPr>
          <w:rFonts w:ascii="Arial Narrow" w:hAnsi="Arial Narrow"/>
          <w:i/>
        </w:rPr>
        <w:t>utatis mutandis</w:t>
      </w:r>
      <w:r w:rsidRPr="00DA4962">
        <w:rPr>
          <w:rFonts w:ascii="Arial Narrow" w:hAnsi="Arial Narrow"/>
        </w:rPr>
        <w:t xml:space="preserve">, Isaković Vidović, </w:t>
      </w:r>
      <w:r w:rsidRPr="00DA4962">
        <w:rPr>
          <w:rFonts w:ascii="Arial Narrow" w:hAnsi="Arial Narrow"/>
          <w:i/>
        </w:rPr>
        <w:t>supra</w:t>
      </w:r>
      <w:r w:rsidRPr="00DA4962">
        <w:rPr>
          <w:rFonts w:ascii="Arial Narrow" w:hAnsi="Arial Narrow"/>
        </w:rPr>
        <w:t>, predmet, stav 60.</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64BE"/>
    <w:multiLevelType w:val="hybridMultilevel"/>
    <w:tmpl w:val="50589C84"/>
    <w:lvl w:ilvl="0" w:tplc="18C6AD26">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1FB3976"/>
    <w:multiLevelType w:val="multilevel"/>
    <w:tmpl w:val="6A36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0592F"/>
    <w:multiLevelType w:val="multilevel"/>
    <w:tmpl w:val="3BCA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E3616"/>
    <w:multiLevelType w:val="multilevel"/>
    <w:tmpl w:val="53EAC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A63F36"/>
    <w:multiLevelType w:val="hybridMultilevel"/>
    <w:tmpl w:val="382C7312"/>
    <w:lvl w:ilvl="0" w:tplc="D61694CE">
      <w:start w:val="2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C13918"/>
    <w:multiLevelType w:val="multilevel"/>
    <w:tmpl w:val="00CA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C97246"/>
    <w:multiLevelType w:val="hybridMultilevel"/>
    <w:tmpl w:val="7862CA20"/>
    <w:lvl w:ilvl="0" w:tplc="E82C5EC0">
      <w:start w:val="8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940C9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6EA3C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26BD3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D036E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F0F974">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14F43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B68ECA">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A43064">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81E6718"/>
    <w:multiLevelType w:val="multilevel"/>
    <w:tmpl w:val="ABBA8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582849"/>
    <w:multiLevelType w:val="multilevel"/>
    <w:tmpl w:val="6B6E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2511A6"/>
    <w:multiLevelType w:val="hybridMultilevel"/>
    <w:tmpl w:val="77686C00"/>
    <w:lvl w:ilvl="0" w:tplc="1A082016">
      <w:start w:val="4"/>
      <w:numFmt w:val="bullet"/>
      <w:lvlText w:val="-"/>
      <w:lvlJc w:val="left"/>
      <w:pPr>
        <w:ind w:left="1080" w:hanging="360"/>
      </w:pPr>
      <w:rPr>
        <w:rFonts w:ascii="Arial Narrow" w:eastAsiaTheme="minorHAnsi" w:hAnsi="Arial Narrow"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387161"/>
    <w:multiLevelType w:val="hybridMultilevel"/>
    <w:tmpl w:val="E53CB406"/>
    <w:lvl w:ilvl="0" w:tplc="DEAE7BD4">
      <w:start w:val="2"/>
      <w:numFmt w:val="bullet"/>
      <w:lvlText w:val="-"/>
      <w:lvlJc w:val="left"/>
      <w:pPr>
        <w:ind w:left="720" w:hanging="360"/>
      </w:pPr>
      <w:rPr>
        <w:rFonts w:ascii="Arial Narrow" w:eastAsia="Calibri" w:hAnsi="Arial Narrow"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99353D"/>
    <w:multiLevelType w:val="multilevel"/>
    <w:tmpl w:val="39E4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C4EA6"/>
    <w:multiLevelType w:val="hybridMultilevel"/>
    <w:tmpl w:val="E626F79E"/>
    <w:lvl w:ilvl="0" w:tplc="0A2805EC">
      <w:start w:val="1"/>
      <w:numFmt w:val="upperRoman"/>
      <w:lvlText w:val="%1-"/>
      <w:lvlJc w:val="left"/>
      <w:pPr>
        <w:ind w:left="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E7264E8">
      <w:start w:val="1"/>
      <w:numFmt w:val="lowerLetter"/>
      <w:lvlText w:val="%2"/>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EE07010">
      <w:start w:val="1"/>
      <w:numFmt w:val="lowerRoman"/>
      <w:lvlText w:val="%3"/>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07A4342">
      <w:start w:val="1"/>
      <w:numFmt w:val="decimal"/>
      <w:lvlText w:val="%4"/>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FD05AD6">
      <w:start w:val="1"/>
      <w:numFmt w:val="lowerLetter"/>
      <w:lvlText w:val="%5"/>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5BABB22">
      <w:start w:val="1"/>
      <w:numFmt w:val="lowerRoman"/>
      <w:lvlText w:val="%6"/>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EA6B564">
      <w:start w:val="1"/>
      <w:numFmt w:val="decimal"/>
      <w:lvlText w:val="%7"/>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AE88F3C">
      <w:start w:val="1"/>
      <w:numFmt w:val="lowerLetter"/>
      <w:lvlText w:val="%8"/>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1451E2">
      <w:start w:val="1"/>
      <w:numFmt w:val="lowerRoman"/>
      <w:lvlText w:val="%9"/>
      <w:lvlJc w:val="left"/>
      <w:pPr>
        <w:ind w:left="68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2A857292"/>
    <w:multiLevelType w:val="multilevel"/>
    <w:tmpl w:val="5AE6B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0C125D"/>
    <w:multiLevelType w:val="multilevel"/>
    <w:tmpl w:val="6586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407842"/>
    <w:multiLevelType w:val="hybridMultilevel"/>
    <w:tmpl w:val="B30203A2"/>
    <w:lvl w:ilvl="0" w:tplc="C42EAFEE">
      <w:start w:val="1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6" w15:restartNumberingAfterBreak="0">
    <w:nsid w:val="32471AB1"/>
    <w:multiLevelType w:val="hybridMultilevel"/>
    <w:tmpl w:val="97C4CAF4"/>
    <w:lvl w:ilvl="0" w:tplc="9D3C8136">
      <w:start w:val="20"/>
      <w:numFmt w:val="bullet"/>
      <w:lvlText w:val="-"/>
      <w:lvlJc w:val="left"/>
      <w:pPr>
        <w:ind w:left="643" w:hanging="360"/>
      </w:pPr>
      <w:rPr>
        <w:rFonts w:ascii="Arial Narrow" w:eastAsia="Times New Roman" w:hAnsi="Arial Narrow"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7" w15:restartNumberingAfterBreak="0">
    <w:nsid w:val="33CD7AB2"/>
    <w:multiLevelType w:val="multilevel"/>
    <w:tmpl w:val="84FE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1A769B"/>
    <w:multiLevelType w:val="multilevel"/>
    <w:tmpl w:val="E732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DD22B7"/>
    <w:multiLevelType w:val="multilevel"/>
    <w:tmpl w:val="13D06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243B43"/>
    <w:multiLevelType w:val="multilevel"/>
    <w:tmpl w:val="7340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0C7F6F"/>
    <w:multiLevelType w:val="multilevel"/>
    <w:tmpl w:val="458E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A87BF6"/>
    <w:multiLevelType w:val="multilevel"/>
    <w:tmpl w:val="AF36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872BFA"/>
    <w:multiLevelType w:val="multilevel"/>
    <w:tmpl w:val="B0E83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255F3C"/>
    <w:multiLevelType w:val="multilevel"/>
    <w:tmpl w:val="92460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373E81"/>
    <w:multiLevelType w:val="hybridMultilevel"/>
    <w:tmpl w:val="538822E2"/>
    <w:lvl w:ilvl="0" w:tplc="DC5A0320">
      <w:start w:val="4"/>
      <w:numFmt w:val="bullet"/>
      <w:lvlText w:val="-"/>
      <w:lvlJc w:val="left"/>
      <w:pPr>
        <w:ind w:left="720" w:hanging="360"/>
      </w:pPr>
      <w:rPr>
        <w:rFonts w:ascii="Arial Narrow" w:eastAsia="Calibri" w:hAnsi="Arial Narrow"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401227"/>
    <w:multiLevelType w:val="hybridMultilevel"/>
    <w:tmpl w:val="0764D3B4"/>
    <w:lvl w:ilvl="0" w:tplc="39304908">
      <w:start w:val="7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A274D0">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D6BAFE">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2A110C">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5E56F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87948">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BA018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24B87A">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FA67F0">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AE62333"/>
    <w:multiLevelType w:val="multilevel"/>
    <w:tmpl w:val="30E6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6462A0"/>
    <w:multiLevelType w:val="hybridMultilevel"/>
    <w:tmpl w:val="3962F0F0"/>
    <w:lvl w:ilvl="0" w:tplc="A9ACB4C4">
      <w:start w:val="1"/>
      <w:numFmt w:val="low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9" w15:restartNumberingAfterBreak="0">
    <w:nsid w:val="515D1B1F"/>
    <w:multiLevelType w:val="multilevel"/>
    <w:tmpl w:val="6360D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A622B1"/>
    <w:multiLevelType w:val="multilevel"/>
    <w:tmpl w:val="0CD2388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A909A9"/>
    <w:multiLevelType w:val="hybridMultilevel"/>
    <w:tmpl w:val="41EA0A30"/>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A55BCE"/>
    <w:multiLevelType w:val="multilevel"/>
    <w:tmpl w:val="769EF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047C92"/>
    <w:multiLevelType w:val="multilevel"/>
    <w:tmpl w:val="5F00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B157E4"/>
    <w:multiLevelType w:val="hybridMultilevel"/>
    <w:tmpl w:val="F9C21480"/>
    <w:lvl w:ilvl="0" w:tplc="898640E4">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5" w15:restartNumberingAfterBreak="0">
    <w:nsid w:val="654A2409"/>
    <w:multiLevelType w:val="hybridMultilevel"/>
    <w:tmpl w:val="5498CFA8"/>
    <w:lvl w:ilvl="0" w:tplc="14345F98">
      <w:start w:val="2"/>
      <w:numFmt w:val="decimal"/>
      <w:lvlText w:val="%1."/>
      <w:lvlJc w:val="left"/>
      <w:pPr>
        <w:ind w:left="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3AC1D22">
      <w:start w:val="1"/>
      <w:numFmt w:val="lowerLetter"/>
      <w:lvlText w:val="%2"/>
      <w:lvlJc w:val="left"/>
      <w:pPr>
        <w:ind w:left="17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32A67F0">
      <w:start w:val="1"/>
      <w:numFmt w:val="lowerRoman"/>
      <w:lvlText w:val="%3"/>
      <w:lvlJc w:val="left"/>
      <w:pPr>
        <w:ind w:left="25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53ADCCE">
      <w:start w:val="1"/>
      <w:numFmt w:val="decimal"/>
      <w:lvlText w:val="%4"/>
      <w:lvlJc w:val="left"/>
      <w:pPr>
        <w:ind w:left="32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7D2A73C">
      <w:start w:val="1"/>
      <w:numFmt w:val="lowerLetter"/>
      <w:lvlText w:val="%5"/>
      <w:lvlJc w:val="left"/>
      <w:pPr>
        <w:ind w:left="39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2209232">
      <w:start w:val="1"/>
      <w:numFmt w:val="lowerRoman"/>
      <w:lvlText w:val="%6"/>
      <w:lvlJc w:val="left"/>
      <w:pPr>
        <w:ind w:left="46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A3474EA">
      <w:start w:val="1"/>
      <w:numFmt w:val="decimal"/>
      <w:lvlText w:val="%7"/>
      <w:lvlJc w:val="left"/>
      <w:pPr>
        <w:ind w:left="53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56EABFA">
      <w:start w:val="1"/>
      <w:numFmt w:val="lowerLetter"/>
      <w:lvlText w:val="%8"/>
      <w:lvlJc w:val="left"/>
      <w:pPr>
        <w:ind w:left="61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7103B58">
      <w:start w:val="1"/>
      <w:numFmt w:val="lowerRoman"/>
      <w:lvlText w:val="%9"/>
      <w:lvlJc w:val="left"/>
      <w:pPr>
        <w:ind w:left="68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67870411"/>
    <w:multiLevelType w:val="multilevel"/>
    <w:tmpl w:val="38E4D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6241B4"/>
    <w:multiLevelType w:val="hybridMultilevel"/>
    <w:tmpl w:val="F252CED8"/>
    <w:lvl w:ilvl="0" w:tplc="0E54F24C">
      <w:start w:val="84"/>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D657F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70389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987C5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5E4DE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4A11D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746CA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EEFBE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A2022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B7C395E"/>
    <w:multiLevelType w:val="hybridMultilevel"/>
    <w:tmpl w:val="D892D996"/>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AB35E7"/>
    <w:multiLevelType w:val="hybridMultilevel"/>
    <w:tmpl w:val="BBA68490"/>
    <w:lvl w:ilvl="0" w:tplc="00A61C04">
      <w:start w:val="1"/>
      <w:numFmt w:val="upperLetter"/>
      <w:lvlText w:val="%1."/>
      <w:lvlJc w:val="left"/>
      <w:pPr>
        <w:ind w:left="1080" w:hanging="360"/>
      </w:pPr>
      <w:rPr>
        <w:rFonts w:hint="default"/>
        <w:b/>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38D27E9"/>
    <w:multiLevelType w:val="multilevel"/>
    <w:tmpl w:val="82D8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4C57E1"/>
    <w:multiLevelType w:val="hybridMultilevel"/>
    <w:tmpl w:val="2AEC2B9C"/>
    <w:lvl w:ilvl="0" w:tplc="47062C1C">
      <w:start w:val="6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C2746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E0082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C07200">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8A23B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48B99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1AB808">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FA666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5643B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8ED6A9F"/>
    <w:multiLevelType w:val="hybridMultilevel"/>
    <w:tmpl w:val="3DF66A2A"/>
    <w:lvl w:ilvl="0" w:tplc="539E5DCA">
      <w:start w:val="9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3A46A6">
      <w:start w:val="1"/>
      <w:numFmt w:val="lowerLetter"/>
      <w:lvlText w:val="%2"/>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A2514C">
      <w:start w:val="1"/>
      <w:numFmt w:val="lowerRoman"/>
      <w:lvlText w:val="%3"/>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62905E">
      <w:start w:val="1"/>
      <w:numFmt w:val="decimal"/>
      <w:lvlText w:val="%4"/>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9A9DC4">
      <w:start w:val="1"/>
      <w:numFmt w:val="lowerLetter"/>
      <w:lvlText w:val="%5"/>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74ED78">
      <w:start w:val="1"/>
      <w:numFmt w:val="lowerRoman"/>
      <w:lvlText w:val="%6"/>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846FA2">
      <w:start w:val="1"/>
      <w:numFmt w:val="decimal"/>
      <w:lvlText w:val="%7"/>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C20F7C">
      <w:start w:val="1"/>
      <w:numFmt w:val="lowerLetter"/>
      <w:lvlText w:val="%8"/>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CC4264">
      <w:start w:val="1"/>
      <w:numFmt w:val="lowerRoman"/>
      <w:lvlText w:val="%9"/>
      <w:lvlJc w:val="left"/>
      <w:pPr>
        <w:ind w:left="6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BC931BB"/>
    <w:multiLevelType w:val="multilevel"/>
    <w:tmpl w:val="31EC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0D0197"/>
    <w:multiLevelType w:val="multilevel"/>
    <w:tmpl w:val="6046D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BA7FCB"/>
    <w:multiLevelType w:val="multilevel"/>
    <w:tmpl w:val="D95C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39"/>
  </w:num>
  <w:num w:numId="3">
    <w:abstractNumId w:val="12"/>
  </w:num>
  <w:num w:numId="4">
    <w:abstractNumId w:val="35"/>
  </w:num>
  <w:num w:numId="5">
    <w:abstractNumId w:val="0"/>
  </w:num>
  <w:num w:numId="6">
    <w:abstractNumId w:val="25"/>
  </w:num>
  <w:num w:numId="7">
    <w:abstractNumId w:val="10"/>
  </w:num>
  <w:num w:numId="8">
    <w:abstractNumId w:val="9"/>
  </w:num>
  <w:num w:numId="9">
    <w:abstractNumId w:val="26"/>
  </w:num>
  <w:num w:numId="10">
    <w:abstractNumId w:val="37"/>
  </w:num>
  <w:num w:numId="11">
    <w:abstractNumId w:val="6"/>
  </w:num>
  <w:num w:numId="12">
    <w:abstractNumId w:val="42"/>
  </w:num>
  <w:num w:numId="13">
    <w:abstractNumId w:val="41"/>
  </w:num>
  <w:num w:numId="14">
    <w:abstractNumId w:val="28"/>
  </w:num>
  <w:num w:numId="15">
    <w:abstractNumId w:val="15"/>
  </w:num>
  <w:num w:numId="16">
    <w:abstractNumId w:val="31"/>
  </w:num>
  <w:num w:numId="17">
    <w:abstractNumId w:val="38"/>
  </w:num>
  <w:num w:numId="18">
    <w:abstractNumId w:val="23"/>
  </w:num>
  <w:num w:numId="19">
    <w:abstractNumId w:val="4"/>
  </w:num>
  <w:num w:numId="20">
    <w:abstractNumId w:val="32"/>
  </w:num>
  <w:num w:numId="21">
    <w:abstractNumId w:val="14"/>
  </w:num>
  <w:num w:numId="22">
    <w:abstractNumId w:val="30"/>
  </w:num>
  <w:num w:numId="23">
    <w:abstractNumId w:val="22"/>
  </w:num>
  <w:num w:numId="24">
    <w:abstractNumId w:val="18"/>
  </w:num>
  <w:num w:numId="25">
    <w:abstractNumId w:val="21"/>
  </w:num>
  <w:num w:numId="26">
    <w:abstractNumId w:val="24"/>
  </w:num>
  <w:num w:numId="27">
    <w:abstractNumId w:val="20"/>
  </w:num>
  <w:num w:numId="28">
    <w:abstractNumId w:val="7"/>
  </w:num>
  <w:num w:numId="29">
    <w:abstractNumId w:val="44"/>
  </w:num>
  <w:num w:numId="30">
    <w:abstractNumId w:val="13"/>
  </w:num>
  <w:num w:numId="31">
    <w:abstractNumId w:val="17"/>
  </w:num>
  <w:num w:numId="32">
    <w:abstractNumId w:val="16"/>
  </w:num>
  <w:num w:numId="33">
    <w:abstractNumId w:val="2"/>
  </w:num>
  <w:num w:numId="34">
    <w:abstractNumId w:val="19"/>
  </w:num>
  <w:num w:numId="35">
    <w:abstractNumId w:val="3"/>
  </w:num>
  <w:num w:numId="36">
    <w:abstractNumId w:val="36"/>
  </w:num>
  <w:num w:numId="37">
    <w:abstractNumId w:val="11"/>
  </w:num>
  <w:num w:numId="38">
    <w:abstractNumId w:val="1"/>
  </w:num>
  <w:num w:numId="39">
    <w:abstractNumId w:val="5"/>
  </w:num>
  <w:num w:numId="40">
    <w:abstractNumId w:val="29"/>
  </w:num>
  <w:num w:numId="41">
    <w:abstractNumId w:val="8"/>
  </w:num>
  <w:num w:numId="42">
    <w:abstractNumId w:val="45"/>
  </w:num>
  <w:num w:numId="43">
    <w:abstractNumId w:val="43"/>
  </w:num>
  <w:num w:numId="44">
    <w:abstractNumId w:val="33"/>
  </w:num>
  <w:num w:numId="45">
    <w:abstractNumId w:val="40"/>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8AA"/>
    <w:rsid w:val="000000A1"/>
    <w:rsid w:val="00000BE1"/>
    <w:rsid w:val="0000444C"/>
    <w:rsid w:val="00011519"/>
    <w:rsid w:val="0001164E"/>
    <w:rsid w:val="0001216F"/>
    <w:rsid w:val="000158BD"/>
    <w:rsid w:val="000419B2"/>
    <w:rsid w:val="0005507B"/>
    <w:rsid w:val="00061C95"/>
    <w:rsid w:val="00073E3D"/>
    <w:rsid w:val="00094793"/>
    <w:rsid w:val="000B6EF8"/>
    <w:rsid w:val="000D6B34"/>
    <w:rsid w:val="000E061B"/>
    <w:rsid w:val="000E747D"/>
    <w:rsid w:val="000F195C"/>
    <w:rsid w:val="000F7468"/>
    <w:rsid w:val="001016F3"/>
    <w:rsid w:val="00113F9D"/>
    <w:rsid w:val="001758E6"/>
    <w:rsid w:val="00187563"/>
    <w:rsid w:val="001939CC"/>
    <w:rsid w:val="001A3EE9"/>
    <w:rsid w:val="001B169C"/>
    <w:rsid w:val="001D4EF0"/>
    <w:rsid w:val="001E3BBA"/>
    <w:rsid w:val="001E4540"/>
    <w:rsid w:val="00202238"/>
    <w:rsid w:val="00226A10"/>
    <w:rsid w:val="00226C65"/>
    <w:rsid w:val="00236583"/>
    <w:rsid w:val="002373AF"/>
    <w:rsid w:val="002473A1"/>
    <w:rsid w:val="002552F8"/>
    <w:rsid w:val="00257AE9"/>
    <w:rsid w:val="0026685B"/>
    <w:rsid w:val="00270CE7"/>
    <w:rsid w:val="00281756"/>
    <w:rsid w:val="00287518"/>
    <w:rsid w:val="00291E2F"/>
    <w:rsid w:val="002950C9"/>
    <w:rsid w:val="002A47BF"/>
    <w:rsid w:val="002C0CE7"/>
    <w:rsid w:val="002C2FE0"/>
    <w:rsid w:val="002E6BD8"/>
    <w:rsid w:val="003140DB"/>
    <w:rsid w:val="00315FB6"/>
    <w:rsid w:val="003245B6"/>
    <w:rsid w:val="00334003"/>
    <w:rsid w:val="003409B0"/>
    <w:rsid w:val="00347DEE"/>
    <w:rsid w:val="003608FD"/>
    <w:rsid w:val="003610C7"/>
    <w:rsid w:val="00363082"/>
    <w:rsid w:val="0037519A"/>
    <w:rsid w:val="003C3CC7"/>
    <w:rsid w:val="00444CE6"/>
    <w:rsid w:val="00447202"/>
    <w:rsid w:val="0046596E"/>
    <w:rsid w:val="00474B84"/>
    <w:rsid w:val="0047564D"/>
    <w:rsid w:val="004918FB"/>
    <w:rsid w:val="004A76CF"/>
    <w:rsid w:val="004C24B5"/>
    <w:rsid w:val="004F30CD"/>
    <w:rsid w:val="004F6BC5"/>
    <w:rsid w:val="004F6D4C"/>
    <w:rsid w:val="00525272"/>
    <w:rsid w:val="00583B02"/>
    <w:rsid w:val="005B171D"/>
    <w:rsid w:val="005F3376"/>
    <w:rsid w:val="00601039"/>
    <w:rsid w:val="00605A89"/>
    <w:rsid w:val="006110A8"/>
    <w:rsid w:val="00650EDC"/>
    <w:rsid w:val="006550B1"/>
    <w:rsid w:val="00655324"/>
    <w:rsid w:val="00666335"/>
    <w:rsid w:val="0067685C"/>
    <w:rsid w:val="006A4CCD"/>
    <w:rsid w:val="006E4299"/>
    <w:rsid w:val="0071407F"/>
    <w:rsid w:val="007153B5"/>
    <w:rsid w:val="0074757D"/>
    <w:rsid w:val="00753253"/>
    <w:rsid w:val="00765503"/>
    <w:rsid w:val="007948FA"/>
    <w:rsid w:val="007A5D98"/>
    <w:rsid w:val="007C0CCE"/>
    <w:rsid w:val="007F1562"/>
    <w:rsid w:val="008121F5"/>
    <w:rsid w:val="00813AFE"/>
    <w:rsid w:val="00815E57"/>
    <w:rsid w:val="0085113F"/>
    <w:rsid w:val="00853FF8"/>
    <w:rsid w:val="00891B24"/>
    <w:rsid w:val="008B2009"/>
    <w:rsid w:val="008B2F1F"/>
    <w:rsid w:val="008B57BA"/>
    <w:rsid w:val="008D0D88"/>
    <w:rsid w:val="008F51A0"/>
    <w:rsid w:val="00907C18"/>
    <w:rsid w:val="00913AD1"/>
    <w:rsid w:val="00922D77"/>
    <w:rsid w:val="00924B1A"/>
    <w:rsid w:val="00941052"/>
    <w:rsid w:val="00945F08"/>
    <w:rsid w:val="009475F8"/>
    <w:rsid w:val="00956C68"/>
    <w:rsid w:val="009D7255"/>
    <w:rsid w:val="00A03F77"/>
    <w:rsid w:val="00A22021"/>
    <w:rsid w:val="00A23C22"/>
    <w:rsid w:val="00A347E3"/>
    <w:rsid w:val="00A36B8C"/>
    <w:rsid w:val="00A37C36"/>
    <w:rsid w:val="00A528E2"/>
    <w:rsid w:val="00A9206A"/>
    <w:rsid w:val="00AA0FBA"/>
    <w:rsid w:val="00AA10D4"/>
    <w:rsid w:val="00AB2EA7"/>
    <w:rsid w:val="00AE149B"/>
    <w:rsid w:val="00AE41DC"/>
    <w:rsid w:val="00AE7E1E"/>
    <w:rsid w:val="00AF4639"/>
    <w:rsid w:val="00B079BA"/>
    <w:rsid w:val="00B429A3"/>
    <w:rsid w:val="00B42B15"/>
    <w:rsid w:val="00B7086B"/>
    <w:rsid w:val="00B72A2D"/>
    <w:rsid w:val="00B737AA"/>
    <w:rsid w:val="00B870BE"/>
    <w:rsid w:val="00BA1299"/>
    <w:rsid w:val="00BA48D4"/>
    <w:rsid w:val="00BD4EBA"/>
    <w:rsid w:val="00BF5626"/>
    <w:rsid w:val="00C0451E"/>
    <w:rsid w:val="00C07552"/>
    <w:rsid w:val="00C17006"/>
    <w:rsid w:val="00C63422"/>
    <w:rsid w:val="00C72E9C"/>
    <w:rsid w:val="00C80DD5"/>
    <w:rsid w:val="00C910D4"/>
    <w:rsid w:val="00CC633B"/>
    <w:rsid w:val="00CE11AF"/>
    <w:rsid w:val="00D07E3A"/>
    <w:rsid w:val="00D1261E"/>
    <w:rsid w:val="00D22A69"/>
    <w:rsid w:val="00D37C5C"/>
    <w:rsid w:val="00D40933"/>
    <w:rsid w:val="00D467DD"/>
    <w:rsid w:val="00D73E99"/>
    <w:rsid w:val="00D80AEE"/>
    <w:rsid w:val="00D833AB"/>
    <w:rsid w:val="00D83BC5"/>
    <w:rsid w:val="00D90ED3"/>
    <w:rsid w:val="00DB5EBE"/>
    <w:rsid w:val="00DB6A6D"/>
    <w:rsid w:val="00DF5A9B"/>
    <w:rsid w:val="00E04E3A"/>
    <w:rsid w:val="00E16454"/>
    <w:rsid w:val="00E168AA"/>
    <w:rsid w:val="00E32AFD"/>
    <w:rsid w:val="00E5104E"/>
    <w:rsid w:val="00E5410A"/>
    <w:rsid w:val="00E662E3"/>
    <w:rsid w:val="00E700B4"/>
    <w:rsid w:val="00E717C1"/>
    <w:rsid w:val="00E97CAD"/>
    <w:rsid w:val="00EB4102"/>
    <w:rsid w:val="00EB461C"/>
    <w:rsid w:val="00EC6165"/>
    <w:rsid w:val="00EE3BBD"/>
    <w:rsid w:val="00EF6E4D"/>
    <w:rsid w:val="00F2353A"/>
    <w:rsid w:val="00F35E87"/>
    <w:rsid w:val="00F6769D"/>
    <w:rsid w:val="00F703DF"/>
    <w:rsid w:val="00F85880"/>
    <w:rsid w:val="00FA6B82"/>
    <w:rsid w:val="00FC1CB4"/>
    <w:rsid w:val="00FF3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04908"/>
  <w15:chartTrackingRefBased/>
  <w15:docId w15:val="{5DE10260-9183-4735-A5B9-B6DE491EA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CC7"/>
    <w:pPr>
      <w:spacing w:after="200" w:line="276" w:lineRule="auto"/>
    </w:pPr>
  </w:style>
  <w:style w:type="paragraph" w:styleId="Heading1">
    <w:name w:val="heading 1"/>
    <w:basedOn w:val="Normal"/>
    <w:next w:val="Normal"/>
    <w:link w:val="Heading1Char"/>
    <w:uiPriority w:val="9"/>
    <w:qFormat/>
    <w:rsid w:val="00D83BC5"/>
    <w:pPr>
      <w:keepNext/>
      <w:keepLines/>
      <w:spacing w:before="480" w:after="0" w:line="259" w:lineRule="auto"/>
      <w:outlineLvl w:val="0"/>
    </w:pPr>
    <w:rPr>
      <w:rFonts w:asciiTheme="majorHAnsi" w:eastAsiaTheme="majorEastAsia" w:hAnsiTheme="majorHAnsi" w:cstheme="majorBidi"/>
      <w:b/>
      <w:bCs/>
      <w:color w:val="2E74B5" w:themeColor="accent1" w:themeShade="BF"/>
      <w:sz w:val="28"/>
      <w:szCs w:val="28"/>
      <w:lang w:val="en-GB"/>
    </w:rPr>
  </w:style>
  <w:style w:type="paragraph" w:styleId="Heading2">
    <w:name w:val="heading 2"/>
    <w:basedOn w:val="Normal"/>
    <w:next w:val="Normal"/>
    <w:link w:val="Heading2Char"/>
    <w:uiPriority w:val="9"/>
    <w:unhideWhenUsed/>
    <w:qFormat/>
    <w:rsid w:val="00D83BC5"/>
    <w:pPr>
      <w:keepNext/>
      <w:keepLines/>
      <w:spacing w:before="200" w:after="0" w:line="259" w:lineRule="auto"/>
      <w:outlineLvl w:val="1"/>
    </w:pPr>
    <w:rPr>
      <w:rFonts w:asciiTheme="majorHAnsi" w:eastAsiaTheme="majorEastAsia" w:hAnsiTheme="majorHAnsi" w:cstheme="majorBidi"/>
      <w:b/>
      <w:bCs/>
      <w:color w:val="5B9BD5" w:themeColor="accent1"/>
      <w:sz w:val="26"/>
      <w:szCs w:val="26"/>
      <w:lang w:val="en-GB"/>
    </w:rPr>
  </w:style>
  <w:style w:type="paragraph" w:styleId="Heading3">
    <w:name w:val="heading 3"/>
    <w:basedOn w:val="Normal"/>
    <w:next w:val="Normal"/>
    <w:link w:val="Heading3Char"/>
    <w:uiPriority w:val="9"/>
    <w:semiHidden/>
    <w:unhideWhenUsed/>
    <w:qFormat/>
    <w:rsid w:val="00D833AB"/>
    <w:pPr>
      <w:keepNext/>
      <w:keepLines/>
      <w:spacing w:before="200" w:after="0" w:line="259" w:lineRule="auto"/>
      <w:outlineLvl w:val="2"/>
    </w:pPr>
    <w:rPr>
      <w:rFonts w:asciiTheme="majorHAnsi" w:eastAsiaTheme="majorEastAsia" w:hAnsiTheme="majorHAnsi" w:cstheme="majorBidi"/>
      <w:b/>
      <w:bCs/>
      <w:color w:val="5B9BD5" w:themeColor="accent1"/>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D0D88"/>
    <w:pPr>
      <w:spacing w:after="0" w:line="240" w:lineRule="auto"/>
    </w:pPr>
  </w:style>
  <w:style w:type="paragraph" w:styleId="Footer">
    <w:name w:val="footer"/>
    <w:basedOn w:val="Normal"/>
    <w:link w:val="FooterChar"/>
    <w:uiPriority w:val="99"/>
    <w:unhideWhenUsed/>
    <w:rsid w:val="008D0D88"/>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8D0D88"/>
    <w:rPr>
      <w:rFonts w:ascii="Calibri" w:eastAsia="Times New Roman" w:hAnsi="Calibri" w:cs="Times New Roman"/>
    </w:rPr>
  </w:style>
  <w:style w:type="paragraph" w:styleId="FootnoteText">
    <w:name w:val="footnote text"/>
    <w:basedOn w:val="Normal"/>
    <w:link w:val="FootnoteTextChar"/>
    <w:uiPriority w:val="99"/>
    <w:unhideWhenUsed/>
    <w:rsid w:val="008D0D88"/>
    <w:pPr>
      <w:spacing w:after="0" w:line="240" w:lineRule="auto"/>
    </w:pPr>
    <w:rPr>
      <w:sz w:val="20"/>
      <w:szCs w:val="20"/>
      <w:lang w:val="en-GB"/>
    </w:rPr>
  </w:style>
  <w:style w:type="character" w:customStyle="1" w:styleId="FootnoteTextChar">
    <w:name w:val="Footnote Text Char"/>
    <w:basedOn w:val="DefaultParagraphFont"/>
    <w:link w:val="FootnoteText"/>
    <w:uiPriority w:val="99"/>
    <w:rsid w:val="008D0D88"/>
    <w:rPr>
      <w:sz w:val="20"/>
      <w:szCs w:val="20"/>
      <w:lang w:val="en-GB"/>
    </w:rPr>
  </w:style>
  <w:style w:type="character" w:styleId="FootnoteReference">
    <w:name w:val="footnote reference"/>
    <w:aliases w:val="Footnote Refernece,BVI fnr,Footnote symbol,Footnote Reference Arial,Appel note de bas de page,callout,Footnote Reference1,ftref"/>
    <w:uiPriority w:val="99"/>
    <w:unhideWhenUsed/>
    <w:rsid w:val="008D0D88"/>
    <w:rPr>
      <w:vertAlign w:val="superscript"/>
    </w:rPr>
  </w:style>
  <w:style w:type="paragraph" w:styleId="NormalWeb">
    <w:name w:val="Normal (Web)"/>
    <w:basedOn w:val="Normal"/>
    <w:uiPriority w:val="99"/>
    <w:unhideWhenUsed/>
    <w:rsid w:val="005F3376"/>
    <w:pPr>
      <w:spacing w:after="0" w:line="240" w:lineRule="auto"/>
    </w:pPr>
    <w:rPr>
      <w:rFonts w:ascii="Times New Roman" w:eastAsia="Times New Roman" w:hAnsi="Times New Roman" w:cs="Times New Roman"/>
      <w:sz w:val="24"/>
      <w:szCs w:val="24"/>
    </w:rPr>
  </w:style>
  <w:style w:type="paragraph" w:customStyle="1" w:styleId="1tekst">
    <w:name w:val="_1tekst"/>
    <w:basedOn w:val="Normal"/>
    <w:rsid w:val="005F33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2zakon">
    <w:name w:val="stil_2zakon"/>
    <w:basedOn w:val="Normal"/>
    <w:rsid w:val="00853F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clan">
    <w:name w:val="_4clan"/>
    <w:basedOn w:val="Normal"/>
    <w:rsid w:val="003C3C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n1">
    <w:name w:val="span1"/>
    <w:basedOn w:val="DefaultParagraphFont"/>
    <w:rsid w:val="003C3CC7"/>
  </w:style>
  <w:style w:type="paragraph" w:customStyle="1" w:styleId="1tekst0">
    <w:name w:val="1tekst"/>
    <w:basedOn w:val="Normal"/>
    <w:rsid w:val="003C3CC7"/>
    <w:pPr>
      <w:spacing w:after="0" w:line="240" w:lineRule="auto"/>
      <w:ind w:left="375" w:right="375" w:firstLine="240"/>
      <w:jc w:val="both"/>
    </w:pPr>
    <w:rPr>
      <w:rFonts w:ascii="Arial" w:eastAsia="Calibri" w:hAnsi="Arial" w:cs="Arial"/>
      <w:sz w:val="20"/>
      <w:szCs w:val="20"/>
    </w:rPr>
  </w:style>
  <w:style w:type="character" w:customStyle="1" w:styleId="span3">
    <w:name w:val="span3"/>
    <w:basedOn w:val="DefaultParagraphFont"/>
    <w:rsid w:val="003C3CC7"/>
  </w:style>
  <w:style w:type="character" w:customStyle="1" w:styleId="sb8d990e2">
    <w:name w:val="sb8d990e2"/>
    <w:basedOn w:val="DefaultParagraphFont"/>
    <w:rsid w:val="00C0451E"/>
  </w:style>
  <w:style w:type="paragraph" w:customStyle="1" w:styleId="2zakon">
    <w:name w:val="_2zakon"/>
    <w:basedOn w:val="Normal"/>
    <w:rsid w:val="00AF4639"/>
    <w:pPr>
      <w:tabs>
        <w:tab w:val="left" w:pos="720"/>
      </w:tabs>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SpacingChar">
    <w:name w:val="No Spacing Char"/>
    <w:link w:val="NoSpacing"/>
    <w:uiPriority w:val="1"/>
    <w:locked/>
    <w:rsid w:val="000158BD"/>
  </w:style>
  <w:style w:type="paragraph" w:customStyle="1" w:styleId="msolistparagraph0">
    <w:name w:val="msolistparagraph"/>
    <w:basedOn w:val="Normal"/>
    <w:rsid w:val="000D6B34"/>
    <w:pPr>
      <w:ind w:left="720"/>
    </w:pPr>
    <w:rPr>
      <w:rFonts w:ascii="Calibri" w:eastAsia="Calibri" w:hAnsi="Calibri" w:cs="Times New Roman"/>
    </w:rPr>
  </w:style>
  <w:style w:type="character" w:customStyle="1" w:styleId="span2">
    <w:name w:val="span2"/>
    <w:basedOn w:val="DefaultParagraphFont"/>
    <w:rsid w:val="000D6B34"/>
  </w:style>
  <w:style w:type="character" w:styleId="Hyperlink">
    <w:name w:val="Hyperlink"/>
    <w:basedOn w:val="DefaultParagraphFont"/>
    <w:uiPriority w:val="99"/>
    <w:semiHidden/>
    <w:unhideWhenUsed/>
    <w:rsid w:val="00CE11AF"/>
    <w:rPr>
      <w:color w:val="0000FF"/>
      <w:u w:val="single"/>
    </w:rPr>
  </w:style>
  <w:style w:type="paragraph" w:customStyle="1" w:styleId="normal00200028web0029">
    <w:name w:val="normal_0020_0028web_0029"/>
    <w:basedOn w:val="Normal"/>
    <w:rsid w:val="00CE11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char">
    <w:name w:val="normal__char"/>
    <w:basedOn w:val="DefaultParagraphFont"/>
    <w:rsid w:val="00CE11AF"/>
  </w:style>
  <w:style w:type="character" w:customStyle="1" w:styleId="1tekstchar">
    <w:name w:val="1tekst__char"/>
    <w:basedOn w:val="DefaultParagraphFont"/>
    <w:rsid w:val="00CE11AF"/>
  </w:style>
  <w:style w:type="character" w:customStyle="1" w:styleId="Heading1Char">
    <w:name w:val="Heading 1 Char"/>
    <w:basedOn w:val="DefaultParagraphFont"/>
    <w:link w:val="Heading1"/>
    <w:uiPriority w:val="9"/>
    <w:rsid w:val="00D83BC5"/>
    <w:rPr>
      <w:rFonts w:asciiTheme="majorHAnsi" w:eastAsiaTheme="majorEastAsia" w:hAnsiTheme="majorHAnsi" w:cstheme="majorBidi"/>
      <w:b/>
      <w:bCs/>
      <w:color w:val="2E74B5" w:themeColor="accent1" w:themeShade="BF"/>
      <w:sz w:val="28"/>
      <w:szCs w:val="28"/>
      <w:lang w:val="en-GB"/>
    </w:rPr>
  </w:style>
  <w:style w:type="character" w:customStyle="1" w:styleId="Heading2Char">
    <w:name w:val="Heading 2 Char"/>
    <w:basedOn w:val="DefaultParagraphFont"/>
    <w:link w:val="Heading2"/>
    <w:uiPriority w:val="9"/>
    <w:rsid w:val="00D83BC5"/>
    <w:rPr>
      <w:rFonts w:asciiTheme="majorHAnsi" w:eastAsiaTheme="majorEastAsia" w:hAnsiTheme="majorHAnsi" w:cstheme="majorBidi"/>
      <w:b/>
      <w:bCs/>
      <w:color w:val="5B9BD5" w:themeColor="accent1"/>
      <w:sz w:val="26"/>
      <w:szCs w:val="26"/>
      <w:lang w:val="en-GB"/>
    </w:rPr>
  </w:style>
  <w:style w:type="numbering" w:customStyle="1" w:styleId="NoList1">
    <w:name w:val="No List1"/>
    <w:next w:val="NoList"/>
    <w:uiPriority w:val="99"/>
    <w:semiHidden/>
    <w:unhideWhenUsed/>
    <w:rsid w:val="00D83BC5"/>
  </w:style>
  <w:style w:type="paragraph" w:styleId="BalloonText">
    <w:name w:val="Balloon Text"/>
    <w:basedOn w:val="Normal"/>
    <w:link w:val="BalloonTextChar"/>
    <w:uiPriority w:val="99"/>
    <w:semiHidden/>
    <w:unhideWhenUsed/>
    <w:rsid w:val="00D83BC5"/>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D83BC5"/>
    <w:rPr>
      <w:rFonts w:ascii="Segoe UI" w:hAnsi="Segoe UI" w:cs="Segoe UI"/>
      <w:sz w:val="18"/>
      <w:szCs w:val="18"/>
      <w:lang w:val="en-GB"/>
    </w:rPr>
  </w:style>
  <w:style w:type="paragraph" w:styleId="Title">
    <w:name w:val="Title"/>
    <w:basedOn w:val="Normal"/>
    <w:next w:val="Normal"/>
    <w:link w:val="TitleChar"/>
    <w:uiPriority w:val="10"/>
    <w:qFormat/>
    <w:rsid w:val="00D83BC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GB"/>
    </w:rPr>
  </w:style>
  <w:style w:type="character" w:customStyle="1" w:styleId="TitleChar">
    <w:name w:val="Title Char"/>
    <w:basedOn w:val="DefaultParagraphFont"/>
    <w:link w:val="Title"/>
    <w:uiPriority w:val="10"/>
    <w:rsid w:val="00D83BC5"/>
    <w:rPr>
      <w:rFonts w:asciiTheme="majorHAnsi" w:eastAsiaTheme="majorEastAsia" w:hAnsiTheme="majorHAnsi" w:cstheme="majorBidi"/>
      <w:color w:val="323E4F" w:themeColor="text2" w:themeShade="BF"/>
      <w:spacing w:val="5"/>
      <w:kern w:val="28"/>
      <w:sz w:val="52"/>
      <w:szCs w:val="52"/>
      <w:lang w:val="en-GB"/>
    </w:rPr>
  </w:style>
  <w:style w:type="paragraph" w:styleId="ListParagraph">
    <w:name w:val="List Paragraph"/>
    <w:basedOn w:val="Normal"/>
    <w:uiPriority w:val="34"/>
    <w:qFormat/>
    <w:rsid w:val="00D83BC5"/>
    <w:pPr>
      <w:spacing w:after="160" w:line="259" w:lineRule="auto"/>
      <w:ind w:left="720"/>
      <w:contextualSpacing/>
    </w:pPr>
    <w:rPr>
      <w:lang w:val="en-GB"/>
    </w:rPr>
  </w:style>
  <w:style w:type="paragraph" w:styleId="Header">
    <w:name w:val="header"/>
    <w:basedOn w:val="Normal"/>
    <w:link w:val="HeaderChar"/>
    <w:uiPriority w:val="99"/>
    <w:unhideWhenUsed/>
    <w:rsid w:val="00D83BC5"/>
    <w:pPr>
      <w:tabs>
        <w:tab w:val="center" w:pos="4680"/>
        <w:tab w:val="right" w:pos="9360"/>
      </w:tabs>
      <w:spacing w:after="0" w:line="240" w:lineRule="auto"/>
    </w:pPr>
    <w:rPr>
      <w:lang w:val="en-GB"/>
    </w:rPr>
  </w:style>
  <w:style w:type="character" w:customStyle="1" w:styleId="HeaderChar">
    <w:name w:val="Header Char"/>
    <w:basedOn w:val="DefaultParagraphFont"/>
    <w:link w:val="Header"/>
    <w:uiPriority w:val="99"/>
    <w:rsid w:val="00D83BC5"/>
    <w:rPr>
      <w:lang w:val="en-GB"/>
    </w:rPr>
  </w:style>
  <w:style w:type="paragraph" w:styleId="HTMLPreformatted">
    <w:name w:val="HTML Preformatted"/>
    <w:basedOn w:val="Normal"/>
    <w:link w:val="HTMLPreformattedChar"/>
    <w:uiPriority w:val="99"/>
    <w:semiHidden/>
    <w:unhideWhenUsed/>
    <w:rsid w:val="00D83BC5"/>
    <w:pPr>
      <w:spacing w:after="0" w:line="240" w:lineRule="auto"/>
    </w:pPr>
    <w:rPr>
      <w:rFonts w:ascii="Consolas" w:hAnsi="Consolas"/>
      <w:sz w:val="20"/>
      <w:szCs w:val="20"/>
      <w:lang w:val="en-GB"/>
    </w:rPr>
  </w:style>
  <w:style w:type="character" w:customStyle="1" w:styleId="HTMLPreformattedChar">
    <w:name w:val="HTML Preformatted Char"/>
    <w:basedOn w:val="DefaultParagraphFont"/>
    <w:link w:val="HTMLPreformatted"/>
    <w:uiPriority w:val="99"/>
    <w:semiHidden/>
    <w:rsid w:val="00D83BC5"/>
    <w:rPr>
      <w:rFonts w:ascii="Consolas" w:hAnsi="Consolas"/>
      <w:sz w:val="20"/>
      <w:szCs w:val="20"/>
      <w:lang w:val="en-GB"/>
    </w:rPr>
  </w:style>
  <w:style w:type="numbering" w:customStyle="1" w:styleId="NoList2">
    <w:name w:val="No List2"/>
    <w:next w:val="NoList"/>
    <w:uiPriority w:val="99"/>
    <w:semiHidden/>
    <w:unhideWhenUsed/>
    <w:rsid w:val="001A3EE9"/>
  </w:style>
  <w:style w:type="paragraph" w:customStyle="1" w:styleId="Default">
    <w:name w:val="Default"/>
    <w:rsid w:val="001A3EE9"/>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uiPriority w:val="9"/>
    <w:semiHidden/>
    <w:rsid w:val="00D833AB"/>
    <w:rPr>
      <w:rFonts w:asciiTheme="majorHAnsi" w:eastAsiaTheme="majorEastAsia" w:hAnsiTheme="majorHAnsi" w:cstheme="majorBidi"/>
      <w:b/>
      <w:bCs/>
      <w:color w:val="5B9BD5" w:themeColor="accent1"/>
      <w:lang w:val="sr-Latn-ME"/>
    </w:rPr>
  </w:style>
  <w:style w:type="numbering" w:customStyle="1" w:styleId="NoList3">
    <w:name w:val="No List3"/>
    <w:next w:val="NoList"/>
    <w:uiPriority w:val="99"/>
    <w:semiHidden/>
    <w:unhideWhenUsed/>
    <w:rsid w:val="00D833AB"/>
  </w:style>
  <w:style w:type="character" w:styleId="Strong">
    <w:name w:val="Strong"/>
    <w:basedOn w:val="DefaultParagraphFont"/>
    <w:uiPriority w:val="22"/>
    <w:qFormat/>
    <w:rsid w:val="00D833AB"/>
    <w:rPr>
      <w:b/>
      <w:bCs/>
    </w:rPr>
  </w:style>
  <w:style w:type="character" w:customStyle="1" w:styleId="sbb9ee52a">
    <w:name w:val="sbb9ee52a"/>
    <w:basedOn w:val="DefaultParagraphFont"/>
    <w:rsid w:val="00D833AB"/>
  </w:style>
  <w:style w:type="paragraph" w:styleId="EndnoteText">
    <w:name w:val="endnote text"/>
    <w:basedOn w:val="Normal"/>
    <w:link w:val="EndnoteTextChar"/>
    <w:uiPriority w:val="99"/>
    <w:semiHidden/>
    <w:unhideWhenUsed/>
    <w:rsid w:val="00D833AB"/>
    <w:pPr>
      <w:spacing w:after="0" w:line="240" w:lineRule="auto"/>
    </w:pPr>
    <w:rPr>
      <w:sz w:val="20"/>
      <w:szCs w:val="20"/>
      <w:lang w:val="sr-Latn-ME"/>
    </w:rPr>
  </w:style>
  <w:style w:type="character" w:customStyle="1" w:styleId="EndnoteTextChar">
    <w:name w:val="Endnote Text Char"/>
    <w:basedOn w:val="DefaultParagraphFont"/>
    <w:link w:val="EndnoteText"/>
    <w:uiPriority w:val="99"/>
    <w:semiHidden/>
    <w:rsid w:val="00D833AB"/>
    <w:rPr>
      <w:sz w:val="20"/>
      <w:szCs w:val="20"/>
      <w:lang w:val="sr-Latn-ME"/>
    </w:rPr>
  </w:style>
  <w:style w:type="character" w:styleId="EndnoteReference">
    <w:name w:val="endnote reference"/>
    <w:basedOn w:val="DefaultParagraphFont"/>
    <w:uiPriority w:val="99"/>
    <w:semiHidden/>
    <w:unhideWhenUsed/>
    <w:rsid w:val="00D833AB"/>
    <w:rPr>
      <w:vertAlign w:val="superscript"/>
    </w:rPr>
  </w:style>
  <w:style w:type="paragraph" w:customStyle="1" w:styleId="3mesto">
    <w:name w:val="_3mesto"/>
    <w:basedOn w:val="Normal"/>
    <w:rsid w:val="00D833AB"/>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D833AB"/>
    <w:rPr>
      <w:rFonts w:cs="Times New Roman"/>
    </w:rPr>
  </w:style>
  <w:style w:type="character" w:customStyle="1" w:styleId="apple-converted-space">
    <w:name w:val="apple-converted-space"/>
    <w:basedOn w:val="DefaultParagraphFont"/>
    <w:rsid w:val="00D833AB"/>
  </w:style>
  <w:style w:type="character" w:customStyle="1" w:styleId="markedcontent">
    <w:name w:val="markedcontent"/>
    <w:basedOn w:val="DefaultParagraphFont"/>
    <w:rsid w:val="00D83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20441">
      <w:bodyDiv w:val="1"/>
      <w:marLeft w:val="0"/>
      <w:marRight w:val="0"/>
      <w:marTop w:val="0"/>
      <w:marBottom w:val="0"/>
      <w:divBdr>
        <w:top w:val="none" w:sz="0" w:space="0" w:color="auto"/>
        <w:left w:val="none" w:sz="0" w:space="0" w:color="auto"/>
        <w:bottom w:val="none" w:sz="0" w:space="0" w:color="auto"/>
        <w:right w:val="none" w:sz="0" w:space="0" w:color="auto"/>
      </w:divBdr>
    </w:div>
    <w:div w:id="165898682">
      <w:bodyDiv w:val="1"/>
      <w:marLeft w:val="0"/>
      <w:marRight w:val="0"/>
      <w:marTop w:val="0"/>
      <w:marBottom w:val="0"/>
      <w:divBdr>
        <w:top w:val="none" w:sz="0" w:space="0" w:color="auto"/>
        <w:left w:val="none" w:sz="0" w:space="0" w:color="auto"/>
        <w:bottom w:val="none" w:sz="0" w:space="0" w:color="auto"/>
        <w:right w:val="none" w:sz="0" w:space="0" w:color="auto"/>
      </w:divBdr>
    </w:div>
    <w:div w:id="181360658">
      <w:bodyDiv w:val="1"/>
      <w:marLeft w:val="0"/>
      <w:marRight w:val="0"/>
      <w:marTop w:val="0"/>
      <w:marBottom w:val="0"/>
      <w:divBdr>
        <w:top w:val="none" w:sz="0" w:space="0" w:color="auto"/>
        <w:left w:val="none" w:sz="0" w:space="0" w:color="auto"/>
        <w:bottom w:val="none" w:sz="0" w:space="0" w:color="auto"/>
        <w:right w:val="none" w:sz="0" w:space="0" w:color="auto"/>
      </w:divBdr>
    </w:div>
    <w:div w:id="256838868">
      <w:bodyDiv w:val="1"/>
      <w:marLeft w:val="0"/>
      <w:marRight w:val="0"/>
      <w:marTop w:val="0"/>
      <w:marBottom w:val="0"/>
      <w:divBdr>
        <w:top w:val="none" w:sz="0" w:space="0" w:color="auto"/>
        <w:left w:val="none" w:sz="0" w:space="0" w:color="auto"/>
        <w:bottom w:val="none" w:sz="0" w:space="0" w:color="auto"/>
        <w:right w:val="none" w:sz="0" w:space="0" w:color="auto"/>
      </w:divBdr>
    </w:div>
    <w:div w:id="341126127">
      <w:bodyDiv w:val="1"/>
      <w:marLeft w:val="0"/>
      <w:marRight w:val="0"/>
      <w:marTop w:val="0"/>
      <w:marBottom w:val="0"/>
      <w:divBdr>
        <w:top w:val="none" w:sz="0" w:space="0" w:color="auto"/>
        <w:left w:val="none" w:sz="0" w:space="0" w:color="auto"/>
        <w:bottom w:val="none" w:sz="0" w:space="0" w:color="auto"/>
        <w:right w:val="none" w:sz="0" w:space="0" w:color="auto"/>
      </w:divBdr>
    </w:div>
    <w:div w:id="470438927">
      <w:bodyDiv w:val="1"/>
      <w:marLeft w:val="0"/>
      <w:marRight w:val="0"/>
      <w:marTop w:val="0"/>
      <w:marBottom w:val="0"/>
      <w:divBdr>
        <w:top w:val="none" w:sz="0" w:space="0" w:color="auto"/>
        <w:left w:val="none" w:sz="0" w:space="0" w:color="auto"/>
        <w:bottom w:val="none" w:sz="0" w:space="0" w:color="auto"/>
        <w:right w:val="none" w:sz="0" w:space="0" w:color="auto"/>
      </w:divBdr>
    </w:div>
    <w:div w:id="560605020">
      <w:bodyDiv w:val="1"/>
      <w:marLeft w:val="0"/>
      <w:marRight w:val="0"/>
      <w:marTop w:val="0"/>
      <w:marBottom w:val="0"/>
      <w:divBdr>
        <w:top w:val="none" w:sz="0" w:space="0" w:color="auto"/>
        <w:left w:val="none" w:sz="0" w:space="0" w:color="auto"/>
        <w:bottom w:val="none" w:sz="0" w:space="0" w:color="auto"/>
        <w:right w:val="none" w:sz="0" w:space="0" w:color="auto"/>
      </w:divBdr>
    </w:div>
    <w:div w:id="1459956130">
      <w:bodyDiv w:val="1"/>
      <w:marLeft w:val="0"/>
      <w:marRight w:val="0"/>
      <w:marTop w:val="0"/>
      <w:marBottom w:val="0"/>
      <w:divBdr>
        <w:top w:val="none" w:sz="0" w:space="0" w:color="auto"/>
        <w:left w:val="none" w:sz="0" w:space="0" w:color="auto"/>
        <w:bottom w:val="none" w:sz="0" w:space="0" w:color="auto"/>
        <w:right w:val="none" w:sz="0" w:space="0" w:color="auto"/>
      </w:divBdr>
    </w:div>
    <w:div w:id="1770197421">
      <w:bodyDiv w:val="1"/>
      <w:marLeft w:val="0"/>
      <w:marRight w:val="0"/>
      <w:marTop w:val="0"/>
      <w:marBottom w:val="0"/>
      <w:divBdr>
        <w:top w:val="none" w:sz="0" w:space="0" w:color="auto"/>
        <w:left w:val="none" w:sz="0" w:space="0" w:color="auto"/>
        <w:bottom w:val="none" w:sz="0" w:space="0" w:color="auto"/>
        <w:right w:val="none" w:sz="0" w:space="0" w:color="auto"/>
      </w:divBdr>
    </w:div>
    <w:div w:id="1972634389">
      <w:bodyDiv w:val="1"/>
      <w:marLeft w:val="0"/>
      <w:marRight w:val="0"/>
      <w:marTop w:val="0"/>
      <w:marBottom w:val="0"/>
      <w:divBdr>
        <w:top w:val="none" w:sz="0" w:space="0" w:color="auto"/>
        <w:left w:val="none" w:sz="0" w:space="0" w:color="auto"/>
        <w:bottom w:val="none" w:sz="0" w:space="0" w:color="auto"/>
        <w:right w:val="none" w:sz="0" w:space="0" w:color="auto"/>
      </w:divBdr>
    </w:div>
    <w:div w:id="1981692005">
      <w:bodyDiv w:val="1"/>
      <w:marLeft w:val="0"/>
      <w:marRight w:val="0"/>
      <w:marTop w:val="0"/>
      <w:marBottom w:val="0"/>
      <w:divBdr>
        <w:top w:val="none" w:sz="0" w:space="0" w:color="auto"/>
        <w:left w:val="none" w:sz="0" w:space="0" w:color="auto"/>
        <w:bottom w:val="none" w:sz="0" w:space="0" w:color="auto"/>
        <w:right w:val="none" w:sz="0" w:space="0" w:color="auto"/>
      </w:divBdr>
    </w:div>
    <w:div w:id="203013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1485A-AC49-47F4-A38D-1A06098E6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34</Pages>
  <Words>19533</Words>
  <Characters>111341</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I2D</dc:creator>
  <cp:keywords/>
  <dc:description/>
  <cp:lastModifiedBy>III5D</cp:lastModifiedBy>
  <cp:revision>116</cp:revision>
  <dcterms:created xsi:type="dcterms:W3CDTF">2025-09-18T07:11:00Z</dcterms:created>
  <dcterms:modified xsi:type="dcterms:W3CDTF">2026-01-29T12:05:00Z</dcterms:modified>
</cp:coreProperties>
</file>